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media/image2.jpeg" ContentType="image/jpeg"/>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before="0" w:after="0"/>
        <w:ind w:left="3509" w:right="3531" w:hanging="0"/>
        <w:jc w:val="center"/>
        <w:rPr/>
      </w:pPr>
      <w:r>
        <w:rPr/>
        <w:drawing>
          <wp:inline distT="0" distB="0" distL="0" distR="0">
            <wp:extent cx="736600" cy="757555"/>
            <wp:effectExtent l="0" t="0" r="0" b="0"/>
            <wp:docPr id="1" name="Objeto3" descr="Objeto 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to3" descr="Objeto OLE"/>
                    <pic:cNvPicPr>
                      <a:picLocks noChangeAspect="1" noChangeArrowheads="1"/>
                    </pic:cNvPicPr>
                  </pic:nvPicPr>
                  <pic:blipFill>
                    <a:blip r:embed="rId2"/>
                    <a:stretch>
                      <a:fillRect/>
                    </a:stretch>
                  </pic:blipFill>
                  <pic:spPr bwMode="auto">
                    <a:xfrm>
                      <a:off x="0" y="0"/>
                      <a:ext cx="736600" cy="757555"/>
                    </a:xfrm>
                    <a:prstGeom prst="rect">
                      <a:avLst/>
                    </a:prstGeom>
                  </pic:spPr>
                </pic:pic>
              </a:graphicData>
            </a:graphic>
          </wp:inline>
        </w:drawing>
      </w:r>
    </w:p>
    <w:p>
      <w:pPr>
        <w:pStyle w:val="Normal"/>
        <w:spacing w:before="0" w:after="0"/>
        <w:ind w:left="3509" w:right="3531" w:hanging="0"/>
        <w:jc w:val="center"/>
        <w:rPr/>
      </w:pPr>
      <w:r>
        <w:rPr>
          <w:b/>
          <w:color w:val="000009"/>
          <w:sz w:val="24"/>
          <w:szCs w:val="24"/>
        </w:rPr>
        <w:t>MINISTÉRIO DA DEFESA</w:t>
      </w:r>
      <w:r>
        <w:rPr>
          <w:b/>
          <w:color w:val="000009"/>
          <w:spacing w:val="-47"/>
          <w:sz w:val="24"/>
          <w:szCs w:val="24"/>
        </w:rPr>
        <w:t xml:space="preserve"> </w:t>
      </w:r>
    </w:p>
    <w:p>
      <w:pPr>
        <w:pStyle w:val="Normal"/>
        <w:spacing w:before="0" w:after="0"/>
        <w:ind w:left="3509" w:right="3531" w:hanging="0"/>
        <w:jc w:val="center"/>
        <w:rPr/>
      </w:pPr>
      <w:r>
        <w:rPr>
          <w:b/>
          <w:color w:val="000009"/>
          <w:sz w:val="24"/>
          <w:szCs w:val="24"/>
        </w:rPr>
        <w:t>EXÉRCITO</w:t>
      </w:r>
      <w:r>
        <w:rPr>
          <w:b/>
          <w:color w:val="000009"/>
          <w:spacing w:val="-3"/>
          <w:sz w:val="24"/>
          <w:szCs w:val="24"/>
        </w:rPr>
        <w:t xml:space="preserve"> </w:t>
      </w:r>
      <w:r>
        <w:rPr>
          <w:b/>
          <w:color w:val="000009"/>
          <w:sz w:val="24"/>
          <w:szCs w:val="24"/>
        </w:rPr>
        <w:t>BRASILEIRO</w:t>
      </w:r>
    </w:p>
    <w:p>
      <w:pPr>
        <w:pStyle w:val="Normal"/>
        <w:spacing w:before="1" w:after="0"/>
        <w:ind w:left="1530" w:right="1553" w:hanging="0"/>
        <w:jc w:val="center"/>
        <w:rPr/>
      </w:pPr>
      <w:r>
        <w:rPr>
          <w:b/>
          <w:color w:val="000009"/>
          <w:sz w:val="24"/>
          <w:szCs w:val="24"/>
        </w:rPr>
        <w:t>23º</w:t>
      </w:r>
      <w:r>
        <w:rPr>
          <w:b/>
          <w:color w:val="000009"/>
          <w:spacing w:val="-4"/>
          <w:sz w:val="24"/>
          <w:szCs w:val="24"/>
        </w:rPr>
        <w:t xml:space="preserve"> </w:t>
      </w:r>
      <w:r>
        <w:rPr>
          <w:b/>
          <w:color w:val="000009"/>
          <w:sz w:val="24"/>
          <w:szCs w:val="24"/>
        </w:rPr>
        <w:t>BATALHÃO</w:t>
      </w:r>
      <w:r>
        <w:rPr>
          <w:b/>
          <w:color w:val="000009"/>
          <w:spacing w:val="-1"/>
          <w:sz w:val="24"/>
          <w:szCs w:val="24"/>
        </w:rPr>
        <w:t xml:space="preserve"> </w:t>
      </w:r>
      <w:r>
        <w:rPr>
          <w:b/>
          <w:color w:val="000009"/>
          <w:sz w:val="24"/>
          <w:szCs w:val="24"/>
        </w:rPr>
        <w:t>LOGÍSTICO</w:t>
      </w:r>
      <w:r>
        <w:rPr>
          <w:b/>
          <w:color w:val="000009"/>
          <w:spacing w:val="-1"/>
          <w:sz w:val="24"/>
          <w:szCs w:val="24"/>
        </w:rPr>
        <w:t xml:space="preserve"> </w:t>
      </w:r>
      <w:r>
        <w:rPr>
          <w:b/>
          <w:color w:val="000009"/>
          <w:sz w:val="24"/>
          <w:szCs w:val="24"/>
        </w:rPr>
        <w:t>DE</w:t>
      </w:r>
      <w:r>
        <w:rPr>
          <w:b/>
          <w:color w:val="000009"/>
          <w:spacing w:val="-3"/>
          <w:sz w:val="24"/>
          <w:szCs w:val="24"/>
        </w:rPr>
        <w:t xml:space="preserve"> </w:t>
      </w:r>
      <w:r>
        <w:rPr>
          <w:b/>
          <w:color w:val="000009"/>
          <w:sz w:val="24"/>
          <w:szCs w:val="24"/>
        </w:rPr>
        <w:t>SELVA</w:t>
      </w:r>
    </w:p>
    <w:p>
      <w:pPr>
        <w:pStyle w:val="Normal"/>
        <w:rPr>
          <w:sz w:val="24"/>
          <w:szCs w:val="24"/>
        </w:rPr>
      </w:pPr>
      <w:r>
        <w:rPr>
          <w:sz w:val="24"/>
          <w:szCs w:val="24"/>
        </w:rPr>
      </w:r>
    </w:p>
    <w:p>
      <w:pPr>
        <w:pStyle w:val="Normal"/>
        <w:jc w:val="center"/>
        <w:rPr/>
      </w:pPr>
      <w:r>
        <w:rPr>
          <w:b/>
          <w:bCs/>
          <w:color w:val="00000A"/>
          <w:sz w:val="24"/>
          <w:szCs w:val="24"/>
        </w:rPr>
        <w:t>AVISO DE DISPENSA ELETRÔNICA</w:t>
      </w:r>
    </w:p>
    <w:p>
      <w:pPr>
        <w:pStyle w:val="Normal"/>
        <w:jc w:val="center"/>
        <w:rPr/>
      </w:pPr>
      <w:r>
        <w:rPr>
          <w:b/>
          <w:bCs/>
          <w:color w:val="00000A"/>
          <w:sz w:val="24"/>
          <w:szCs w:val="24"/>
        </w:rPr>
        <w:t xml:space="preserve">Processo Administrativo nº </w:t>
      </w:r>
      <w:r>
        <w:rPr>
          <w:b w:val="false"/>
          <w:bCs w:val="false"/>
          <w:color w:val="000000"/>
          <w:spacing w:val="-2"/>
          <w:sz w:val="24"/>
          <w:szCs w:val="24"/>
        </w:rPr>
        <w:t xml:space="preserve"> </w:t>
      </w:r>
      <w:r>
        <w:rPr>
          <w:rStyle w:val="Fontepargpadro"/>
          <w:rFonts w:eastAsia="WenQuanYi Micro Hei" w:cs="Times New Roman"/>
          <w:b w:val="false"/>
          <w:bCs w:val="false"/>
          <w:iCs/>
          <w:color w:val="000000"/>
          <w:spacing w:val="-2"/>
          <w:sz w:val="24"/>
          <w:szCs w:val="24"/>
          <w:u w:val="none"/>
          <w:lang w:eastAsia="pt-BR"/>
        </w:rPr>
        <w:t>64144.007536/2023-07</w:t>
      </w:r>
    </w:p>
    <w:p>
      <w:pPr>
        <w:pStyle w:val="Corpodotexto"/>
        <w:rPr>
          <w:i/>
          <w:i/>
          <w:color w:val="FF3333"/>
          <w:sz w:val="23"/>
        </w:rPr>
      </w:pPr>
      <w:r>
        <w:rPr>
          <w:i/>
          <w:color w:val="FF3333"/>
          <w:sz w:val="23"/>
        </w:rPr>
      </w:r>
    </w:p>
    <w:p>
      <w:pPr>
        <w:pStyle w:val="Default"/>
        <w:jc w:val="center"/>
        <w:rPr>
          <w:b/>
          <w:b/>
          <w:bCs/>
        </w:rPr>
      </w:pPr>
      <w:r>
        <w:rPr>
          <w:b/>
          <w:bCs/>
        </w:rPr>
        <w:t>CONDIÇÕES GERAIS DA CONTRATAÇÃO</w:t>
      </w:r>
    </w:p>
    <w:p>
      <w:pPr>
        <w:pStyle w:val="Default"/>
        <w:jc w:val="both"/>
        <w:rPr>
          <w:b/>
          <w:b/>
          <w:bCs/>
          <w:i w:val="false"/>
          <w:i w:val="false"/>
          <w:iCs w:val="false"/>
        </w:rPr>
      </w:pPr>
      <w:r>
        <w:rPr>
          <w:b/>
          <w:bCs/>
          <w:i w:val="false"/>
          <w:iCs w:val="false"/>
        </w:rPr>
      </w:r>
    </w:p>
    <w:p>
      <w:pPr>
        <w:pStyle w:val="Normal"/>
        <w:widowControl/>
        <w:overflowPunct w:val="true"/>
        <w:bidi w:val="0"/>
        <w:spacing w:lineRule="auto" w:line="360" w:before="0" w:after="0"/>
        <w:ind w:left="0" w:right="0" w:hanging="0"/>
        <w:jc w:val="both"/>
        <w:rPr/>
      </w:pPr>
      <w:r>
        <w:rPr>
          <w:rFonts w:cs="Times New Roman"/>
          <w:i w:val="false"/>
          <w:iCs w:val="false"/>
          <w:color w:val="000000"/>
          <w:sz w:val="24"/>
          <w:szCs w:val="24"/>
        </w:rPr>
        <w:t>Torna-se público, para conhecimento dos interessados, que o 23º Batalhão Logístico de Selva</w:t>
      </w:r>
      <w:r>
        <w:rPr>
          <w:rFonts w:cs="Times New Roman"/>
          <w:i w:val="false"/>
          <w:iCs w:val="false"/>
          <w:sz w:val="24"/>
          <w:szCs w:val="24"/>
        </w:rPr>
        <w:t xml:space="preserve">, sediado na </w:t>
      </w:r>
      <w:r>
        <w:rPr>
          <w:rFonts w:cs="Times New Roman"/>
          <w:i w:val="false"/>
          <w:iCs w:val="false"/>
          <w:strike w:val="false"/>
          <w:dstrike w:val="false"/>
          <w:sz w:val="24"/>
          <w:szCs w:val="24"/>
        </w:rPr>
        <w:t xml:space="preserve">BR-230 Rodovia Transamazônica, km 9, Nova Marabá, Marabá-PA, CEP 68.507-765, </w:t>
      </w:r>
      <w:r>
        <w:rPr>
          <w:rFonts w:cs="Times New Roman"/>
          <w:i w:val="false"/>
          <w:iCs w:val="false"/>
          <w:sz w:val="24"/>
          <w:szCs w:val="24"/>
        </w:rPr>
        <w:t xml:space="preserve">realizará </w:t>
      </w:r>
      <w:r>
        <w:rPr>
          <w:rFonts w:cs="Times New Roman"/>
          <w:b/>
          <w:bCs/>
          <w:i w:val="false"/>
          <w:iCs w:val="false"/>
          <w:sz w:val="24"/>
          <w:szCs w:val="24"/>
        </w:rPr>
        <w:t>DISPENSA</w:t>
      </w:r>
      <w:r>
        <w:rPr>
          <w:rFonts w:cs="Times New Roman"/>
          <w:b/>
          <w:i w:val="false"/>
          <w:iCs w:val="false"/>
          <w:sz w:val="24"/>
          <w:szCs w:val="24"/>
        </w:rPr>
        <w:t xml:space="preserve"> ELETRÔNICA</w:t>
      </w:r>
      <w:r>
        <w:rPr>
          <w:rFonts w:cs="Times New Roman"/>
          <w:i w:val="false"/>
          <w:iCs w:val="false"/>
          <w:sz w:val="24"/>
          <w:szCs w:val="24"/>
        </w:rPr>
        <w:t>,</w:t>
      </w:r>
      <w:r>
        <w:rPr>
          <w:rFonts w:cs="Times New Roman"/>
          <w:bCs/>
          <w:i w:val="false"/>
          <w:iCs w:val="false"/>
          <w:sz w:val="24"/>
          <w:szCs w:val="24"/>
        </w:rPr>
        <w:t xml:space="preserve"> do tipo </w:t>
      </w:r>
      <w:r>
        <w:rPr>
          <w:rFonts w:cs="Times New Roman"/>
          <w:b/>
          <w:bCs/>
          <w:i w:val="false"/>
          <w:iCs w:val="false"/>
          <w:sz w:val="24"/>
          <w:szCs w:val="24"/>
        </w:rPr>
        <w:t>menor preço</w:t>
      </w:r>
      <w:r>
        <w:rPr>
          <w:rFonts w:cs="Times New Roman"/>
          <w:bCs/>
          <w:i w:val="false"/>
          <w:iCs w:val="false"/>
          <w:color w:val="000000"/>
          <w:sz w:val="24"/>
          <w:szCs w:val="24"/>
        </w:rPr>
        <w:t xml:space="preserve">, </w:t>
      </w:r>
      <w:r>
        <w:rPr>
          <w:rFonts w:cs="Times New Roman"/>
          <w:i w:val="false"/>
          <w:iCs w:val="false"/>
          <w:sz w:val="24"/>
          <w:szCs w:val="24"/>
        </w:rPr>
        <w:t xml:space="preserve">que se regerá por este instrumento, e pela legislação pertinente, em especial pela Lei nº 14.133, de 1º de abril de 2021, Portaria nº 306, de 13 de dezembro de 2001 MPDG, </w:t>
      </w:r>
      <w:r>
        <w:rPr>
          <w:rFonts w:cs="Times New Roman"/>
          <w:i w:val="false"/>
          <w:iCs w:val="false"/>
          <w:color w:val="00000A"/>
          <w:sz w:val="24"/>
          <w:szCs w:val="24"/>
        </w:rPr>
        <w:t>Instrução</w:t>
      </w:r>
      <w:r>
        <w:rPr>
          <w:rFonts w:cs="Times New Roman"/>
          <w:i w:val="false"/>
          <w:iCs w:val="false"/>
          <w:color w:val="00000A"/>
          <w:spacing w:val="5"/>
          <w:sz w:val="24"/>
          <w:szCs w:val="24"/>
        </w:rPr>
        <w:t xml:space="preserve"> </w:t>
      </w:r>
      <w:r>
        <w:rPr>
          <w:rFonts w:cs="Times New Roman"/>
          <w:i w:val="false"/>
          <w:iCs w:val="false"/>
          <w:color w:val="00000A"/>
          <w:sz w:val="24"/>
          <w:szCs w:val="24"/>
        </w:rPr>
        <w:t>Normativa</w:t>
      </w:r>
      <w:r>
        <w:rPr>
          <w:rFonts w:cs="Times New Roman"/>
          <w:i w:val="false"/>
          <w:iCs w:val="false"/>
          <w:color w:val="00000A"/>
          <w:spacing w:val="6"/>
          <w:sz w:val="24"/>
          <w:szCs w:val="24"/>
        </w:rPr>
        <w:t xml:space="preserve"> </w:t>
      </w:r>
      <w:r>
        <w:rPr>
          <w:rFonts w:cs="Times New Roman"/>
          <w:i w:val="false"/>
          <w:iCs w:val="false"/>
          <w:color w:val="00000A"/>
          <w:sz w:val="24"/>
          <w:szCs w:val="24"/>
        </w:rPr>
        <w:t>SeGes/ME</w:t>
      </w:r>
      <w:r>
        <w:rPr>
          <w:rFonts w:cs="Times New Roman"/>
          <w:i w:val="false"/>
          <w:iCs w:val="false"/>
          <w:color w:val="00000A"/>
          <w:spacing w:val="5"/>
          <w:sz w:val="24"/>
          <w:szCs w:val="24"/>
        </w:rPr>
        <w:t xml:space="preserve"> </w:t>
      </w:r>
      <w:r>
        <w:rPr>
          <w:rFonts w:cs="Times New Roman"/>
          <w:i w:val="false"/>
          <w:iCs w:val="false"/>
          <w:color w:val="00000A"/>
          <w:sz w:val="24"/>
          <w:szCs w:val="24"/>
        </w:rPr>
        <w:t>nº</w:t>
      </w:r>
      <w:r>
        <w:rPr>
          <w:rFonts w:cs="Times New Roman"/>
          <w:i w:val="false"/>
          <w:iCs w:val="false"/>
          <w:color w:val="00000A"/>
          <w:spacing w:val="8"/>
          <w:sz w:val="24"/>
          <w:szCs w:val="24"/>
        </w:rPr>
        <w:t xml:space="preserve"> 67</w:t>
      </w:r>
      <w:r>
        <w:rPr>
          <w:rFonts w:cs="Times New Roman"/>
          <w:i w:val="false"/>
          <w:iCs w:val="false"/>
          <w:color w:val="00000A"/>
          <w:sz w:val="24"/>
          <w:szCs w:val="24"/>
        </w:rPr>
        <w:t>,</w:t>
      </w:r>
      <w:r>
        <w:rPr>
          <w:rFonts w:cs="Times New Roman"/>
          <w:i w:val="false"/>
          <w:iCs w:val="false"/>
          <w:color w:val="00000A"/>
          <w:spacing w:val="5"/>
          <w:sz w:val="24"/>
          <w:szCs w:val="24"/>
        </w:rPr>
        <w:t xml:space="preserve"> </w:t>
      </w:r>
      <w:r>
        <w:rPr>
          <w:rFonts w:cs="Times New Roman"/>
          <w:i w:val="false"/>
          <w:iCs w:val="false"/>
          <w:color w:val="00000A"/>
          <w:sz w:val="24"/>
          <w:szCs w:val="24"/>
        </w:rPr>
        <w:t>de</w:t>
      </w:r>
      <w:r>
        <w:rPr>
          <w:rFonts w:cs="Times New Roman"/>
          <w:i w:val="false"/>
          <w:iCs w:val="false"/>
          <w:color w:val="00000A"/>
          <w:spacing w:val="5"/>
          <w:sz w:val="24"/>
          <w:szCs w:val="24"/>
        </w:rPr>
        <w:t xml:space="preserve"> 8</w:t>
      </w:r>
      <w:r>
        <w:rPr>
          <w:rFonts w:cs="Times New Roman"/>
          <w:i w:val="false"/>
          <w:iCs w:val="false"/>
          <w:color w:val="00000A"/>
          <w:spacing w:val="9"/>
          <w:sz w:val="24"/>
          <w:szCs w:val="24"/>
        </w:rPr>
        <w:t xml:space="preserve"> </w:t>
      </w:r>
      <w:r>
        <w:rPr>
          <w:rFonts w:cs="Times New Roman"/>
          <w:i w:val="false"/>
          <w:iCs w:val="false"/>
          <w:color w:val="00000A"/>
          <w:sz w:val="24"/>
          <w:szCs w:val="24"/>
        </w:rPr>
        <w:t>de</w:t>
      </w:r>
      <w:r>
        <w:rPr>
          <w:rFonts w:cs="Times New Roman"/>
          <w:i w:val="false"/>
          <w:iCs w:val="false"/>
          <w:color w:val="00000A"/>
          <w:spacing w:val="5"/>
          <w:sz w:val="24"/>
          <w:szCs w:val="24"/>
        </w:rPr>
        <w:t xml:space="preserve"> julho</w:t>
      </w:r>
      <w:r>
        <w:rPr>
          <w:rFonts w:cs="Times New Roman"/>
          <w:i w:val="false"/>
          <w:iCs w:val="false"/>
          <w:color w:val="00000A"/>
          <w:spacing w:val="6"/>
          <w:sz w:val="24"/>
          <w:szCs w:val="24"/>
        </w:rPr>
        <w:t xml:space="preserve"> </w:t>
      </w:r>
      <w:r>
        <w:rPr>
          <w:rFonts w:cs="Times New Roman"/>
          <w:i w:val="false"/>
          <w:iCs w:val="false"/>
          <w:color w:val="00000A"/>
          <w:sz w:val="24"/>
          <w:szCs w:val="24"/>
        </w:rPr>
        <w:t>de</w:t>
      </w:r>
      <w:r>
        <w:rPr>
          <w:rFonts w:cs="Times New Roman"/>
          <w:i w:val="false"/>
          <w:iCs w:val="false"/>
          <w:color w:val="00000A"/>
          <w:spacing w:val="5"/>
          <w:sz w:val="24"/>
          <w:szCs w:val="24"/>
        </w:rPr>
        <w:t xml:space="preserve"> </w:t>
      </w:r>
      <w:r>
        <w:rPr>
          <w:rFonts w:cs="Times New Roman"/>
          <w:i w:val="false"/>
          <w:iCs w:val="false"/>
          <w:color w:val="00000A"/>
          <w:sz w:val="24"/>
          <w:szCs w:val="24"/>
        </w:rPr>
        <w:t>2021</w:t>
      </w:r>
      <w:r>
        <w:rPr>
          <w:rFonts w:cs="Times New Roman"/>
          <w:i w:val="false"/>
          <w:iCs w:val="false"/>
          <w:sz w:val="24"/>
          <w:szCs w:val="24"/>
        </w:rPr>
        <w:t xml:space="preserve"> e demais legislação correlata.</w:t>
      </w:r>
    </w:p>
    <w:p>
      <w:pPr>
        <w:pStyle w:val="Normal"/>
        <w:widowControl/>
        <w:overflowPunct w:val="true"/>
        <w:bidi w:val="0"/>
        <w:snapToGrid w:val="false"/>
        <w:spacing w:lineRule="auto" w:line="360" w:before="0" w:after="0"/>
        <w:ind w:left="0" w:right="-57" w:hanging="0"/>
        <w:jc w:val="both"/>
        <w:rPr/>
      </w:pPr>
      <w:r>
        <w:rPr>
          <w:rFonts w:cs="Times New Roman"/>
          <w:b w:val="false"/>
          <w:bCs w:val="false"/>
          <w:sz w:val="24"/>
          <w:szCs w:val="24"/>
        </w:rPr>
        <w:t xml:space="preserve">UASG: 160520 – </w:t>
      </w:r>
      <w:r>
        <w:rPr>
          <w:rFonts w:cs="Times New Roman"/>
          <w:b w:val="false"/>
          <w:bCs w:val="false"/>
          <w:i w:val="false"/>
          <w:iCs w:val="false"/>
          <w:color w:val="000000"/>
          <w:sz w:val="24"/>
          <w:szCs w:val="24"/>
        </w:rPr>
        <w:t>23º Batalhão Logístico de Selva</w:t>
      </w:r>
    </w:p>
    <w:p>
      <w:pPr>
        <w:pStyle w:val="Normal"/>
        <w:widowControl/>
        <w:overflowPunct w:val="true"/>
        <w:bidi w:val="0"/>
        <w:snapToGrid w:val="false"/>
        <w:spacing w:lineRule="auto" w:line="360" w:before="0" w:after="0"/>
        <w:ind w:left="0" w:right="-57" w:hanging="0"/>
        <w:jc w:val="both"/>
        <w:rPr/>
      </w:pPr>
      <w:r>
        <w:rPr>
          <w:rFonts w:cs="Times New Roman"/>
          <w:b w:val="false"/>
          <w:bCs w:val="false"/>
          <w:sz w:val="24"/>
          <w:szCs w:val="24"/>
        </w:rPr>
        <w:t xml:space="preserve">Data da abertura da sessão: </w:t>
      </w:r>
      <w:bookmarkStart w:id="0" w:name="__DdeLink__352_13582350"/>
      <w:r>
        <w:rPr>
          <w:rFonts w:cs="Times New Roman"/>
          <w:b w:val="false"/>
          <w:bCs w:val="false"/>
          <w:sz w:val="24"/>
          <w:szCs w:val="24"/>
        </w:rPr>
        <w:t>___</w:t>
      </w:r>
      <w:r>
        <w:rPr>
          <w:rFonts w:cs="Times New Roman"/>
          <w:b w:val="false"/>
          <w:bCs w:val="false"/>
          <w:color w:val="00000A"/>
          <w:sz w:val="24"/>
          <w:szCs w:val="24"/>
        </w:rPr>
        <w:t>/___/202</w:t>
      </w:r>
      <w:bookmarkEnd w:id="0"/>
      <w:r>
        <w:rPr>
          <w:rFonts w:cs="Times New Roman"/>
          <w:b w:val="false"/>
          <w:bCs w:val="false"/>
          <w:color w:val="00000A"/>
          <w:sz w:val="24"/>
          <w:szCs w:val="24"/>
        </w:rPr>
        <w:t>3</w:t>
      </w:r>
    </w:p>
    <w:p>
      <w:pPr>
        <w:pStyle w:val="Normal"/>
        <w:widowControl/>
        <w:overflowPunct w:val="true"/>
        <w:bidi w:val="0"/>
        <w:spacing w:lineRule="auto" w:line="360" w:before="0" w:after="0"/>
        <w:ind w:left="0" w:right="0" w:hanging="0"/>
        <w:jc w:val="left"/>
        <w:rPr/>
      </w:pPr>
      <w:r>
        <w:rPr>
          <w:rFonts w:cs="Times New Roman"/>
          <w:b w:val="false"/>
          <w:bCs w:val="false"/>
          <w:sz w:val="24"/>
          <w:szCs w:val="24"/>
        </w:rPr>
        <w:t xml:space="preserve">Horário da abertura: </w:t>
      </w:r>
      <w:r>
        <w:rPr>
          <w:rFonts w:cs="Times New Roman"/>
          <w:b w:val="false"/>
          <w:bCs w:val="false"/>
          <w:color w:val="00000A"/>
          <w:sz w:val="24"/>
          <w:szCs w:val="24"/>
        </w:rPr>
        <w:t>___h ___min.</w:t>
      </w:r>
    </w:p>
    <w:p>
      <w:pPr>
        <w:pStyle w:val="Normal"/>
        <w:widowControl/>
        <w:overflowPunct w:val="true"/>
        <w:bidi w:val="0"/>
        <w:spacing w:lineRule="auto" w:line="360" w:before="0" w:after="0"/>
        <w:ind w:left="0" w:right="0" w:hanging="0"/>
        <w:jc w:val="left"/>
        <w:rPr/>
      </w:pPr>
      <w:r>
        <w:rPr>
          <w:rFonts w:cs="Times New Roman"/>
          <w:b w:val="false"/>
          <w:bCs w:val="false"/>
          <w:sz w:val="24"/>
          <w:szCs w:val="24"/>
        </w:rPr>
        <w:t>Data do término da sess</w:t>
      </w:r>
      <w:r>
        <w:rPr>
          <w:rFonts w:cs="Times New Roman"/>
          <w:b w:val="false"/>
          <w:bCs w:val="false"/>
          <w:color w:val="00000A"/>
          <w:sz w:val="24"/>
          <w:szCs w:val="24"/>
        </w:rPr>
        <w:t>ão: ___/___/2023</w:t>
      </w:r>
    </w:p>
    <w:p>
      <w:pPr>
        <w:pStyle w:val="Normal"/>
        <w:widowControl/>
        <w:overflowPunct w:val="true"/>
        <w:bidi w:val="0"/>
        <w:spacing w:lineRule="auto" w:line="360" w:before="0" w:after="0"/>
        <w:ind w:left="0" w:right="0" w:hanging="0"/>
        <w:jc w:val="left"/>
        <w:rPr/>
      </w:pPr>
      <w:r>
        <w:rPr>
          <w:rFonts w:cs="Times New Roman"/>
          <w:b w:val="false"/>
          <w:bCs w:val="false"/>
          <w:color w:val="00000A"/>
          <w:sz w:val="24"/>
          <w:szCs w:val="24"/>
        </w:rPr>
        <w:t xml:space="preserve">Horário do término: ___:___ min. </w:t>
      </w:r>
    </w:p>
    <w:p>
      <w:pPr>
        <w:pStyle w:val="Normal"/>
        <w:widowControl/>
        <w:overflowPunct w:val="true"/>
        <w:bidi w:val="0"/>
        <w:spacing w:lineRule="auto" w:line="360" w:before="0" w:after="0"/>
        <w:ind w:left="0" w:right="0" w:hanging="0"/>
        <w:jc w:val="both"/>
        <w:rPr/>
      </w:pPr>
      <w:r>
        <w:rPr>
          <w:rFonts w:cs="Times New Roman"/>
          <w:b w:val="false"/>
          <w:bCs w:val="false"/>
          <w:i w:val="false"/>
          <w:iCs w:val="false"/>
          <w:sz w:val="24"/>
          <w:szCs w:val="24"/>
        </w:rPr>
        <w:t xml:space="preserve">Local: Portal de Compras do Governo Federal: </w:t>
      </w:r>
      <w:hyperlink r:id="rId3">
        <w:r>
          <w:rPr>
            <w:rStyle w:val="LinkdaInternet"/>
            <w:rFonts w:cs="Times New Roman"/>
            <w:b w:val="false"/>
            <w:bCs w:val="false"/>
            <w:i w:val="false"/>
            <w:iCs w:val="false"/>
            <w:color w:val="00000A"/>
            <w:sz w:val="24"/>
            <w:szCs w:val="24"/>
            <w:u w:val="none"/>
          </w:rPr>
          <w:t>www.comprasgovernamentais.gov.br</w:t>
        </w:r>
      </w:hyperlink>
    </w:p>
    <w:p>
      <w:pPr>
        <w:pStyle w:val="ListParagraph"/>
        <w:widowControl/>
        <w:numPr>
          <w:ilvl w:val="0"/>
          <w:numId w:val="1"/>
        </w:numPr>
        <w:tabs>
          <w:tab w:val="clear" w:pos="720"/>
          <w:tab w:val="left" w:pos="678" w:leader="none"/>
          <w:tab w:val="left" w:pos="679" w:leader="none"/>
        </w:tabs>
        <w:overflowPunct w:val="true"/>
        <w:bidi w:val="0"/>
        <w:spacing w:lineRule="auto" w:line="240" w:before="0" w:after="0"/>
        <w:ind w:left="680" w:right="0" w:hanging="680"/>
        <w:jc w:val="left"/>
        <w:rPr/>
      </w:pPr>
      <w:r>
        <w:rPr>
          <w:b/>
          <w:sz w:val="24"/>
        </w:rPr>
        <w:t>OBJETO:</w:t>
      </w:r>
    </w:p>
    <w:tbl>
      <w:tblPr>
        <w:tblW w:w="10043" w:type="dxa"/>
        <w:jc w:val="left"/>
        <w:tblInd w:w="-44" w:type="dxa"/>
        <w:tblCellMar>
          <w:top w:w="0" w:type="dxa"/>
          <w:left w:w="5" w:type="dxa"/>
          <w:bottom w:w="0" w:type="dxa"/>
          <w:right w:w="5" w:type="dxa"/>
        </w:tblCellMar>
      </w:tblPr>
      <w:tblGrid>
        <w:gridCol w:w="440"/>
        <w:gridCol w:w="5184"/>
        <w:gridCol w:w="670"/>
        <w:gridCol w:w="772"/>
        <w:gridCol w:w="617"/>
        <w:gridCol w:w="971"/>
        <w:gridCol w:w="6"/>
        <w:gridCol w:w="998"/>
        <w:gridCol w:w="383"/>
      </w:tblGrid>
      <w:tr>
        <w:trPr>
          <w:trHeight w:val="450" w:hRule="atLeast"/>
        </w:trPr>
        <w:tc>
          <w:tcPr>
            <w:tcW w:w="440" w:type="dxa"/>
            <w:tcBorders>
              <w:top w:val="single" w:sz="4" w:space="0" w:color="000009"/>
              <w:left w:val="single" w:sz="4" w:space="0" w:color="000009"/>
              <w:bottom w:val="single" w:sz="4" w:space="0" w:color="000009"/>
              <w:right w:val="single" w:sz="4" w:space="0" w:color="000009"/>
            </w:tcBorders>
            <w:shd w:fill="B2B2B2" w:val="clear"/>
            <w:vAlign w:val="center"/>
          </w:tcPr>
          <w:p>
            <w:pPr>
              <w:pStyle w:val="TableParagraph"/>
              <w:widowControl/>
              <w:bidi w:val="0"/>
              <w:spacing w:lineRule="auto" w:line="240" w:before="0" w:after="0"/>
              <w:ind w:left="0" w:right="0" w:hanging="0"/>
              <w:jc w:val="center"/>
              <w:rPr/>
            </w:pPr>
            <w:r>
              <w:rPr>
                <w:b/>
                <w:color w:val="000009"/>
                <w:sz w:val="16"/>
              </w:rPr>
              <w:t>Item</w:t>
            </w:r>
          </w:p>
        </w:tc>
        <w:tc>
          <w:tcPr>
            <w:tcW w:w="5184" w:type="dxa"/>
            <w:tcBorders>
              <w:top w:val="single" w:sz="4" w:space="0" w:color="000009"/>
              <w:left w:val="single" w:sz="4" w:space="0" w:color="000009"/>
              <w:bottom w:val="single" w:sz="4" w:space="0" w:color="000009"/>
              <w:right w:val="single" w:sz="4" w:space="0" w:color="000009"/>
            </w:tcBorders>
            <w:shd w:fill="B2B2B2" w:val="clear"/>
            <w:vAlign w:val="center"/>
          </w:tcPr>
          <w:p>
            <w:pPr>
              <w:pStyle w:val="TableParagraph"/>
              <w:widowControl/>
              <w:bidi w:val="0"/>
              <w:spacing w:lineRule="auto" w:line="240" w:before="0" w:after="0"/>
              <w:ind w:left="0" w:right="0" w:hanging="0"/>
              <w:jc w:val="center"/>
              <w:rPr/>
            </w:pPr>
            <w:r>
              <w:rPr>
                <w:b/>
                <w:color w:val="000009"/>
                <w:sz w:val="16"/>
              </w:rPr>
              <w:t>Especificação</w:t>
            </w:r>
            <w:r>
              <w:rPr>
                <w:b/>
                <w:color w:val="000009"/>
                <w:spacing w:val="-3"/>
                <w:sz w:val="16"/>
              </w:rPr>
              <w:t xml:space="preserve"> </w:t>
            </w:r>
            <w:r>
              <w:rPr>
                <w:b/>
                <w:color w:val="000009"/>
                <w:sz w:val="16"/>
              </w:rPr>
              <w:t>do</w:t>
            </w:r>
            <w:r>
              <w:rPr>
                <w:b/>
                <w:color w:val="000009"/>
                <w:spacing w:val="-3"/>
                <w:sz w:val="16"/>
              </w:rPr>
              <w:t xml:space="preserve"> o</w:t>
            </w:r>
            <w:r>
              <w:rPr>
                <w:b/>
                <w:color w:val="000009"/>
                <w:sz w:val="16"/>
              </w:rPr>
              <w:t>bjeto</w:t>
            </w:r>
          </w:p>
          <w:p>
            <w:pPr>
              <w:pStyle w:val="Normal"/>
              <w:widowControl w:val="false"/>
              <w:bidi w:val="0"/>
              <w:snapToGrid w:val="false"/>
              <w:spacing w:lineRule="auto" w:line="240" w:before="0" w:after="0"/>
              <w:ind w:left="0" w:right="0" w:hanging="0"/>
              <w:jc w:val="center"/>
              <w:rPr/>
            </w:pPr>
            <w:r>
              <w:rPr>
                <w:rFonts w:cs="Times New Roman"/>
                <w:b/>
                <w:color w:val="000009"/>
                <w:sz w:val="16"/>
              </w:rPr>
              <w:t>(Especificação técnica mínima)</w:t>
            </w:r>
          </w:p>
        </w:tc>
        <w:tc>
          <w:tcPr>
            <w:tcW w:w="670" w:type="dxa"/>
            <w:tcBorders>
              <w:top w:val="single" w:sz="4" w:space="0" w:color="000009"/>
              <w:left w:val="single" w:sz="4" w:space="0" w:color="000009"/>
              <w:bottom w:val="single" w:sz="4" w:space="0" w:color="000009"/>
              <w:right w:val="single" w:sz="4" w:space="0" w:color="000009"/>
            </w:tcBorders>
            <w:shd w:fill="B2B2B2" w:val="clear"/>
            <w:vAlign w:val="center"/>
          </w:tcPr>
          <w:p>
            <w:pPr>
              <w:pStyle w:val="TableParagraph"/>
              <w:widowControl/>
              <w:bidi w:val="0"/>
              <w:spacing w:lineRule="auto" w:line="240" w:before="0" w:after="0"/>
              <w:ind w:left="0" w:right="0" w:hanging="0"/>
              <w:jc w:val="center"/>
              <w:rPr/>
            </w:pPr>
            <w:r>
              <w:rPr>
                <w:b/>
                <w:color w:val="000009"/>
                <w:sz w:val="16"/>
              </w:rPr>
              <w:t>Unid</w:t>
            </w:r>
          </w:p>
        </w:tc>
        <w:tc>
          <w:tcPr>
            <w:tcW w:w="772" w:type="dxa"/>
            <w:tcBorders>
              <w:top w:val="single" w:sz="4" w:space="0" w:color="000009"/>
              <w:left w:val="single" w:sz="4" w:space="0" w:color="000009"/>
              <w:bottom w:val="single" w:sz="4" w:space="0" w:color="000009"/>
              <w:right w:val="single" w:sz="4" w:space="0" w:color="000009"/>
            </w:tcBorders>
            <w:shd w:fill="B2B2B2" w:val="clear"/>
            <w:vAlign w:val="center"/>
          </w:tcPr>
          <w:p>
            <w:pPr>
              <w:pStyle w:val="TableParagraph"/>
              <w:widowControl/>
              <w:bidi w:val="0"/>
              <w:spacing w:lineRule="auto" w:line="240" w:before="0" w:after="0"/>
              <w:ind w:left="0" w:right="0" w:hanging="0"/>
              <w:jc w:val="center"/>
              <w:rPr/>
            </w:pPr>
            <w:r>
              <w:rPr>
                <w:b/>
                <w:color w:val="000009"/>
                <w:sz w:val="16"/>
              </w:rPr>
              <w:t>CATMAT</w:t>
            </w:r>
          </w:p>
        </w:tc>
        <w:tc>
          <w:tcPr>
            <w:tcW w:w="617" w:type="dxa"/>
            <w:tcBorders>
              <w:top w:val="single" w:sz="4" w:space="0" w:color="000009"/>
              <w:left w:val="single" w:sz="4" w:space="0" w:color="000009"/>
              <w:bottom w:val="single" w:sz="4" w:space="0" w:color="000009"/>
              <w:right w:val="single" w:sz="4" w:space="0" w:color="000009"/>
            </w:tcBorders>
            <w:shd w:fill="B2B2B2" w:val="clear"/>
            <w:vAlign w:val="center"/>
          </w:tcPr>
          <w:p>
            <w:pPr>
              <w:pStyle w:val="TableParagraph"/>
              <w:widowControl/>
              <w:bidi w:val="0"/>
              <w:spacing w:lineRule="auto" w:line="240" w:before="0" w:after="0"/>
              <w:ind w:left="0" w:right="0" w:hanging="0"/>
              <w:jc w:val="center"/>
              <w:rPr/>
            </w:pPr>
            <w:r>
              <w:rPr>
                <w:b/>
                <w:color w:val="000009"/>
                <w:sz w:val="16"/>
              </w:rPr>
              <w:t>Qtd</w:t>
            </w:r>
          </w:p>
        </w:tc>
        <w:tc>
          <w:tcPr>
            <w:tcW w:w="971" w:type="dxa"/>
            <w:tcBorders>
              <w:top w:val="single" w:sz="4" w:space="0" w:color="000009"/>
              <w:left w:val="single" w:sz="4" w:space="0" w:color="000009"/>
              <w:bottom w:val="single" w:sz="4" w:space="0" w:color="000009"/>
              <w:right w:val="single" w:sz="4" w:space="0" w:color="000009"/>
            </w:tcBorders>
            <w:shd w:fill="B2B2B2" w:val="clear"/>
            <w:vAlign w:val="center"/>
          </w:tcPr>
          <w:p>
            <w:pPr>
              <w:pStyle w:val="TableParagraph"/>
              <w:widowControl/>
              <w:overflowPunct w:val="false"/>
              <w:bidi w:val="0"/>
              <w:spacing w:lineRule="auto" w:line="240" w:before="0" w:after="0"/>
              <w:ind w:left="0" w:right="0" w:hanging="0"/>
              <w:jc w:val="center"/>
              <w:rPr/>
            </w:pPr>
            <w:r>
              <w:rPr>
                <w:b/>
                <w:color w:val="000009"/>
                <w:sz w:val="16"/>
              </w:rPr>
              <w:t>Valor Unitário</w:t>
            </w:r>
          </w:p>
        </w:tc>
        <w:tc>
          <w:tcPr>
            <w:tcW w:w="1004" w:type="dxa"/>
            <w:gridSpan w:val="2"/>
            <w:tcBorders>
              <w:top w:val="single" w:sz="4" w:space="0" w:color="000009"/>
              <w:left w:val="single" w:sz="4" w:space="0" w:color="000009"/>
              <w:bottom w:val="single" w:sz="4" w:space="0" w:color="000009"/>
              <w:right w:val="single" w:sz="4" w:space="0" w:color="000009"/>
            </w:tcBorders>
            <w:shd w:fill="B2B2B2" w:val="clear"/>
            <w:vAlign w:val="center"/>
          </w:tcPr>
          <w:p>
            <w:pPr>
              <w:pStyle w:val="TableParagraph"/>
              <w:widowControl/>
              <w:overflowPunct w:val="false"/>
              <w:bidi w:val="0"/>
              <w:spacing w:lineRule="auto" w:line="240" w:before="0" w:after="0"/>
              <w:ind w:left="0" w:right="0" w:hanging="0"/>
              <w:jc w:val="center"/>
              <w:rPr/>
            </w:pPr>
            <w:r>
              <w:rPr>
                <w:b/>
                <w:color w:val="000009"/>
                <w:spacing w:val="-1"/>
                <w:sz w:val="16"/>
              </w:rPr>
              <w:t xml:space="preserve">Valor </w:t>
            </w:r>
            <w:r>
              <w:rPr>
                <w:b/>
                <w:color w:val="000009"/>
                <w:sz w:val="16"/>
              </w:rPr>
              <w:t>Total</w:t>
            </w:r>
          </w:p>
        </w:tc>
        <w:tc>
          <w:tcPr>
            <w:tcW w:w="383" w:type="dxa"/>
            <w:tcBorders>
              <w:top w:val="single" w:sz="4" w:space="0" w:color="000009"/>
              <w:left w:val="single" w:sz="4" w:space="0" w:color="000009"/>
              <w:bottom w:val="single" w:sz="4" w:space="0" w:color="000009"/>
              <w:right w:val="single" w:sz="4" w:space="0" w:color="000009"/>
            </w:tcBorders>
            <w:shd w:fill="B2B2B2" w:val="clear"/>
            <w:vAlign w:val="center"/>
          </w:tcPr>
          <w:p>
            <w:pPr>
              <w:pStyle w:val="TableParagraph"/>
              <w:widowControl/>
              <w:bidi w:val="0"/>
              <w:spacing w:lineRule="auto" w:line="240" w:before="0" w:after="0"/>
              <w:ind w:left="0" w:right="0" w:hanging="0"/>
              <w:jc w:val="center"/>
              <w:rPr/>
            </w:pPr>
            <w:r>
              <w:rPr>
                <w:b/>
                <w:color w:val="000009"/>
                <w:sz w:val="16"/>
              </w:rPr>
              <w:t>Obs</w:t>
            </w:r>
          </w:p>
        </w:tc>
      </w:tr>
      <w:tr>
        <w:trPr>
          <w:trHeight w:val="225" w:hRule="atLeast"/>
        </w:trPr>
        <w:tc>
          <w:tcPr>
            <w:tcW w:w="440" w:type="dxa"/>
            <w:tcBorders>
              <w:top w:val="single" w:sz="4" w:space="0" w:color="000009"/>
              <w:left w:val="single" w:sz="4" w:space="0" w:color="000009"/>
              <w:bottom w:val="single" w:sz="4" w:space="0" w:color="000009"/>
              <w:right w:val="single" w:sz="4" w:space="0" w:color="000009"/>
            </w:tcBorders>
            <w:shd w:fill="FFFFFF" w:val="clear"/>
            <w:vAlign w:val="center"/>
          </w:tcPr>
          <w:p>
            <w:pPr>
              <w:pStyle w:val="TableParagraph"/>
              <w:spacing w:before="21" w:after="0"/>
              <w:ind w:left="80" w:right="99" w:hanging="0"/>
              <w:jc w:val="center"/>
              <w:rPr/>
            </w:pPr>
            <w:r>
              <w:rPr/>
              <w:t>1</w:t>
            </w:r>
          </w:p>
        </w:tc>
        <w:tc>
          <w:tcPr>
            <w:tcW w:w="5184" w:type="dxa"/>
            <w:tcBorders>
              <w:top w:val="single" w:sz="4" w:space="0" w:color="000009"/>
              <w:left w:val="single" w:sz="4" w:space="0" w:color="000009"/>
              <w:bottom w:val="single" w:sz="4" w:space="0" w:color="000009"/>
              <w:right w:val="single" w:sz="4" w:space="0" w:color="000009"/>
            </w:tcBorders>
            <w:shd w:fill="FFFFFF" w:val="clear"/>
            <w:vAlign w:val="bottom"/>
          </w:tcPr>
          <w:p>
            <w:pPr>
              <w:pStyle w:val="Contedodatabela"/>
              <w:jc w:val="both"/>
              <w:rPr>
                <w:rFonts w:ascii="Liberation Serif" w:hAnsi="Liberation Serif"/>
              </w:rPr>
            </w:pPr>
            <w:r>
              <w:rPr/>
              <w:t xml:space="preserve">Mini Câmara fria Para Congelados 1980 Litros Gmpg1980g. Conservação E Exposição De Pão Congelado Ou Gelo. Temperatura: Congelados -10 A -15c. Degelo: Manual. Controlador Eletrônico Com Indicador De Temperatura. Não Acompanha Grades. Revestimento Interno: Aço Galvanizado. Revestimento Externo: Aço Pré-pintado Branco. Revestimento Externo: Construção. Gabinete: Monobloco. Porta: Cega. Fechamento Automático. Pés Niveladores. Estrado De Pvc Na Base. Capacidade: 1980 L. Temperatura: -10° A -15°c. Consumo: 11,98 Kwh/dia. Peso: 186 Kg. Dimensões Internas: 112,7x169,8x103,5cm. Dimensões Externa: 125x220x121cm. Equipamento Certificado Conforme Portaria Inmetro Nº 371/2009. Mini Câmara Para Congelados 1980 Litros Gmpg1980g </w:t>
            </w:r>
          </w:p>
          <w:p>
            <w:pPr>
              <w:pStyle w:val="Contedodatabela"/>
              <w:jc w:val="both"/>
              <w:rPr>
                <w:rFonts w:ascii="Liberation Serif" w:hAnsi="Liberation Serif"/>
              </w:rPr>
            </w:pPr>
            <w:r>
              <w:rPr/>
              <w:t>MODELO: CONFORME IMAGEM</w:t>
            </w:r>
          </w:p>
          <w:p>
            <w:pPr>
              <w:pStyle w:val="Contedodatabela"/>
              <w:jc w:val="both"/>
              <w:rPr>
                <w:rFonts w:ascii="Liberation Serif" w:hAnsi="Liberation Serif"/>
              </w:rPr>
            </w:pPr>
            <w:r>
              <w:rPr>
                <w:rFonts w:ascii="Liberation Serif" w:hAnsi="Liberation Serif"/>
              </w:rPr>
            </w:r>
          </w:p>
          <w:p>
            <w:pPr>
              <w:pStyle w:val="Contedodatabela"/>
              <w:jc w:val="both"/>
              <w:rPr>
                <w:rFonts w:ascii="Liberation Serif" w:hAnsi="Liberation Serif"/>
              </w:rPr>
            </w:pPr>
            <w:r>
              <w:rPr>
                <w:rFonts w:ascii="Liberation Serif" w:hAnsi="Liberation Serif"/>
              </w:rPr>
            </w:r>
          </w:p>
          <w:p>
            <w:pPr>
              <w:pStyle w:val="Contedodatabela"/>
              <w:jc w:val="both"/>
              <w:rPr>
                <w:rFonts w:ascii="Liberation Serif" w:hAnsi="Liberation Serif"/>
              </w:rPr>
            </w:pPr>
            <w:r>
              <w:rPr>
                <w:rFonts w:ascii="Liberation Serif" w:hAnsi="Liberation Serif"/>
              </w:rPr>
            </w:r>
          </w:p>
          <w:p>
            <w:pPr>
              <w:pStyle w:val="Contedodatabela"/>
              <w:jc w:val="both"/>
              <w:rPr>
                <w:rFonts w:ascii="Liberation Serif" w:hAnsi="Liberation Serif"/>
              </w:rPr>
            </w:pPr>
            <w:r>
              <w:rPr>
                <w:rFonts w:ascii="Liberation Serif" w:hAnsi="Liberation Serif"/>
              </w:rPr>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3285490" cy="2797175"/>
                  <wp:effectExtent l="0" t="0" r="0" b="0"/>
                  <wp:wrapSquare wrapText="largest"/>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4"/>
                          <a:stretch>
                            <a:fillRect/>
                          </a:stretch>
                        </pic:blipFill>
                        <pic:spPr bwMode="auto">
                          <a:xfrm>
                            <a:off x="0" y="0"/>
                            <a:ext cx="3285490" cy="2797175"/>
                          </a:xfrm>
                          <a:prstGeom prst="rect">
                            <a:avLst/>
                          </a:prstGeom>
                        </pic:spPr>
                      </pic:pic>
                    </a:graphicData>
                  </a:graphic>
                </wp:anchor>
              </w:drawing>
            </w:r>
          </w:p>
        </w:tc>
        <w:tc>
          <w:tcPr>
            <w:tcW w:w="670" w:type="dxa"/>
            <w:tcBorders>
              <w:top w:val="single" w:sz="4" w:space="0" w:color="000009"/>
              <w:left w:val="single" w:sz="4" w:space="0" w:color="000009"/>
              <w:bottom w:val="single" w:sz="4" w:space="0" w:color="000009"/>
              <w:right w:val="single" w:sz="4" w:space="0" w:color="000009"/>
            </w:tcBorders>
            <w:shd w:fill="FFFFFF" w:val="clear"/>
            <w:vAlign w:val="center"/>
          </w:tcPr>
          <w:p>
            <w:pPr>
              <w:pStyle w:val="TableParagraph"/>
              <w:widowControl w:val="false"/>
              <w:suppressAutoHyphens w:val="true"/>
              <w:spacing w:before="0" w:after="0"/>
              <w:jc w:val="center"/>
              <w:rPr/>
            </w:pPr>
            <w:r>
              <w:rPr/>
              <w:t>Und</w:t>
            </w:r>
          </w:p>
        </w:tc>
        <w:tc>
          <w:tcPr>
            <w:tcW w:w="772" w:type="dxa"/>
            <w:tcBorders>
              <w:top w:val="single" w:sz="4" w:space="0" w:color="000009"/>
              <w:left w:val="single" w:sz="4" w:space="0" w:color="000009"/>
              <w:bottom w:val="single" w:sz="4" w:space="0" w:color="000009"/>
              <w:right w:val="single" w:sz="4" w:space="0" w:color="000009"/>
            </w:tcBorders>
            <w:shd w:fill="FFFFFF" w:val="clear"/>
            <w:vAlign w:val="center"/>
          </w:tcPr>
          <w:p>
            <w:pPr>
              <w:pStyle w:val="TableParagraph"/>
              <w:widowControl w:val="false"/>
              <w:suppressAutoHyphens w:val="true"/>
              <w:spacing w:before="0" w:after="0"/>
              <w:jc w:val="center"/>
              <w:rPr>
                <w:rFonts w:ascii="Times New Roman" w:hAnsi="Times New Roman" w:eastAsia="Times New Roman" w:cs="Times New Roman"/>
                <w:color w:val="000000"/>
                <w:kern w:val="0"/>
                <w:sz w:val="24"/>
                <w:szCs w:val="24"/>
                <w:lang w:val="pt-PT" w:eastAsia="en-US" w:bidi="ar-SA"/>
              </w:rPr>
            </w:pPr>
            <w:r>
              <w:rPr>
                <w:rFonts w:eastAsia="Times New Roman" w:cs="Times New Roman"/>
                <w:color w:val="000000"/>
                <w:kern w:val="0"/>
                <w:sz w:val="24"/>
                <w:szCs w:val="24"/>
                <w:lang w:val="pt-PT" w:eastAsia="en-US" w:bidi="ar-SA"/>
              </w:rPr>
              <w:t>601595</w:t>
            </w:r>
          </w:p>
        </w:tc>
        <w:tc>
          <w:tcPr>
            <w:tcW w:w="617" w:type="dxa"/>
            <w:tcBorders>
              <w:top w:val="single" w:sz="4" w:space="0" w:color="000009"/>
              <w:left w:val="single" w:sz="4" w:space="0" w:color="000009"/>
              <w:bottom w:val="single" w:sz="4" w:space="0" w:color="000009"/>
              <w:right w:val="single" w:sz="4" w:space="0" w:color="000001"/>
            </w:tcBorders>
            <w:shd w:fill="FFFFFF" w:val="clear"/>
            <w:vAlign w:val="center"/>
          </w:tcPr>
          <w:p>
            <w:pPr>
              <w:pStyle w:val="TableParagraph"/>
              <w:widowControl w:val="false"/>
              <w:suppressAutoHyphens w:val="true"/>
              <w:spacing w:before="0" w:after="0"/>
              <w:jc w:val="center"/>
              <w:rPr>
                <w:rFonts w:ascii="Times New Roman" w:hAnsi="Times New Roman" w:eastAsia="Times New Roman" w:cs="Times New Roman"/>
                <w:color w:val="00000A"/>
                <w:kern w:val="0"/>
                <w:sz w:val="24"/>
                <w:szCs w:val="24"/>
                <w:lang w:val="pt-PT" w:eastAsia="en-US" w:bidi="ar-SA"/>
              </w:rPr>
            </w:pPr>
            <w:r>
              <w:rPr>
                <w:rFonts w:eastAsia="Times New Roman" w:cs="Times New Roman"/>
                <w:color w:val="00000A"/>
                <w:kern w:val="0"/>
                <w:sz w:val="24"/>
                <w:szCs w:val="24"/>
                <w:lang w:val="pt-PT" w:eastAsia="en-US" w:bidi="ar-SA"/>
              </w:rPr>
              <w:t>2</w:t>
            </w:r>
          </w:p>
        </w:tc>
        <w:tc>
          <w:tcPr>
            <w:tcW w:w="971" w:type="dxa"/>
            <w:tcBorders>
              <w:top w:val="single" w:sz="4" w:space="0" w:color="000009"/>
              <w:left w:val="single" w:sz="4" w:space="0" w:color="000001"/>
              <w:bottom w:val="single" w:sz="4" w:space="0" w:color="000009"/>
              <w:right w:val="single" w:sz="4" w:space="0" w:color="000009"/>
            </w:tcBorders>
            <w:shd w:fill="FFFFFF" w:val="clear"/>
            <w:vAlign w:val="center"/>
          </w:tcPr>
          <w:p>
            <w:pPr>
              <w:pStyle w:val="TableParagraph"/>
              <w:jc w:val="center"/>
              <w:rPr>
                <w:rFonts w:ascii="Times New Roman" w:hAnsi="Times New Roman" w:eastAsia="Times New Roman" w:cs="Times New Roman"/>
                <w:color w:val="00000A"/>
                <w:kern w:val="0"/>
                <w:sz w:val="22"/>
                <w:szCs w:val="22"/>
                <w:lang w:val="pt-PT" w:eastAsia="en-US" w:bidi="ar-SA"/>
              </w:rPr>
            </w:pPr>
            <w:r>
              <w:rPr>
                <w:rFonts w:eastAsia="Times New Roman" w:cs="Times New Roman"/>
                <w:color w:val="00000A"/>
                <w:kern w:val="0"/>
                <w:sz w:val="22"/>
                <w:szCs w:val="22"/>
                <w:lang w:val="pt-PT" w:eastAsia="en-US" w:bidi="ar-SA"/>
              </w:rPr>
              <w:t xml:space="preserve"> </w:t>
            </w:r>
            <w:r>
              <w:rPr>
                <w:rFonts w:eastAsia="Times New Roman" w:cs="Times New Roman"/>
                <w:color w:val="00000A"/>
                <w:kern w:val="0"/>
                <w:sz w:val="22"/>
                <w:szCs w:val="22"/>
                <w:lang w:val="pt-PT" w:eastAsia="en-US" w:bidi="ar-SA"/>
              </w:rPr>
              <w:t>R$ 22.305,91</w:t>
            </w:r>
          </w:p>
        </w:tc>
        <w:tc>
          <w:tcPr>
            <w:tcW w:w="1004" w:type="dxa"/>
            <w:gridSpan w:val="2"/>
            <w:tcBorders>
              <w:top w:val="single" w:sz="4" w:space="0" w:color="000009"/>
              <w:left w:val="single" w:sz="4" w:space="0" w:color="000009"/>
              <w:bottom w:val="single" w:sz="4" w:space="0" w:color="000009"/>
              <w:right w:val="single" w:sz="4" w:space="0" w:color="000009"/>
            </w:tcBorders>
            <w:shd w:fill="FFFFFF" w:val="clear"/>
            <w:vAlign w:val="center"/>
          </w:tcPr>
          <w:p>
            <w:pPr>
              <w:pStyle w:val="TableParagraph"/>
              <w:jc w:val="center"/>
              <w:rPr>
                <w:rFonts w:ascii="Times New Roman" w:hAnsi="Times New Roman" w:eastAsia="Times New Roman" w:cs="Times New Roman"/>
                <w:color w:val="00000A"/>
                <w:sz w:val="24"/>
                <w:szCs w:val="24"/>
                <w:lang w:val="pt-PT" w:eastAsia="en-US" w:bidi="ar-SA"/>
              </w:rPr>
            </w:pPr>
            <w:r>
              <w:rPr>
                <w:rFonts w:eastAsia="Times New Roman" w:cs="Times New Roman"/>
                <w:color w:val="00000A"/>
                <w:sz w:val="24"/>
                <w:szCs w:val="24"/>
                <w:lang w:val="pt-PT" w:eastAsia="en-US" w:bidi="ar-SA"/>
              </w:rPr>
              <w:t xml:space="preserve">R$ </w:t>
            </w:r>
            <w:r>
              <w:rPr>
                <w:rFonts w:eastAsia="Times New Roman" w:cs="Times New Roman"/>
                <w:color w:val="00000A"/>
                <w:kern w:val="0"/>
                <w:sz w:val="21"/>
                <w:szCs w:val="21"/>
                <w:lang w:val="pt-PT" w:eastAsia="en-US" w:bidi="ar-SA"/>
              </w:rPr>
              <w:t>44.611,82</w:t>
            </w:r>
          </w:p>
        </w:tc>
        <w:tc>
          <w:tcPr>
            <w:tcW w:w="383" w:type="dxa"/>
            <w:tcBorders>
              <w:top w:val="single" w:sz="4" w:space="0" w:color="000009"/>
              <w:left w:val="single" w:sz="4" w:space="0" w:color="000009"/>
              <w:bottom w:val="single" w:sz="4" w:space="0" w:color="000009"/>
              <w:right w:val="single" w:sz="4" w:space="0" w:color="000009"/>
            </w:tcBorders>
            <w:shd w:fill="FFFFFF" w:val="clear"/>
            <w:vAlign w:val="center"/>
          </w:tcPr>
          <w:p>
            <w:pPr>
              <w:pStyle w:val="TableParagraph"/>
              <w:jc w:val="center"/>
              <w:rPr>
                <w:rFonts w:ascii="Times New Roman" w:hAnsi="Times New Roman" w:eastAsia="Times New Roman" w:cs="Times New Roman"/>
                <w:color w:val="00000A"/>
                <w:sz w:val="22"/>
                <w:szCs w:val="22"/>
                <w:lang w:val="pt-PT" w:eastAsia="en-US" w:bidi="ar-SA"/>
              </w:rPr>
            </w:pPr>
            <w:r>
              <w:rPr>
                <w:rFonts w:eastAsia="Times New Roman" w:cs="Times New Roman"/>
                <w:color w:val="00000A"/>
                <w:sz w:val="22"/>
                <w:szCs w:val="22"/>
                <w:lang w:val="pt-PT" w:eastAsia="en-US" w:bidi="ar-SA"/>
              </w:rPr>
            </w:r>
          </w:p>
        </w:tc>
      </w:tr>
      <w:tr>
        <w:trPr>
          <w:trHeight w:val="225" w:hRule="atLeast"/>
        </w:trPr>
        <w:tc>
          <w:tcPr>
            <w:tcW w:w="8660" w:type="dxa"/>
            <w:gridSpan w:val="7"/>
            <w:tcBorders>
              <w:top w:val="single" w:sz="4" w:space="0" w:color="000009"/>
              <w:left w:val="single" w:sz="4" w:space="0" w:color="000009"/>
              <w:bottom w:val="single" w:sz="4" w:space="0" w:color="000009"/>
              <w:right w:val="single" w:sz="4" w:space="0" w:color="000009"/>
            </w:tcBorders>
            <w:shd w:fill="FFFFFF" w:val="clear"/>
            <w:vAlign w:val="center"/>
          </w:tcPr>
          <w:p>
            <w:pPr>
              <w:pStyle w:val="TableParagraph"/>
              <w:widowControl/>
              <w:bidi w:val="0"/>
              <w:spacing w:lineRule="auto" w:line="240" w:before="0" w:after="0"/>
              <w:ind w:left="0" w:right="0" w:hanging="0"/>
              <w:jc w:val="center"/>
              <w:rPr>
                <w:rFonts w:ascii="Times New Roman" w:hAnsi="Times New Roman"/>
                <w:sz w:val="20"/>
                <w:szCs w:val="20"/>
              </w:rPr>
            </w:pPr>
            <w:r>
              <w:rPr>
                <w:rFonts w:eastAsia="Times New Roman" w:cs="Times New Roman"/>
                <w:b/>
                <w:bCs/>
                <w:color w:val="00000A"/>
                <w:sz w:val="20"/>
                <w:szCs w:val="20"/>
                <w:lang w:val="pt-PT" w:eastAsia="en-US" w:bidi="ar-SA"/>
              </w:rPr>
              <w:t>VALOR TOTAL (Estimado = Máximo aceitável)</w:t>
            </w:r>
          </w:p>
        </w:tc>
        <w:tc>
          <w:tcPr>
            <w:tcW w:w="1381" w:type="dxa"/>
            <w:gridSpan w:val="2"/>
            <w:tcBorders>
              <w:top w:val="single" w:sz="4" w:space="0" w:color="000009"/>
              <w:left w:val="single" w:sz="4" w:space="0" w:color="000009"/>
              <w:bottom w:val="single" w:sz="4" w:space="0" w:color="000009"/>
              <w:right w:val="single" w:sz="4" w:space="0" w:color="000009"/>
            </w:tcBorders>
            <w:shd w:fill="FFFFFF" w:val="clear"/>
            <w:vAlign w:val="center"/>
          </w:tcPr>
          <w:p>
            <w:pPr>
              <w:pStyle w:val="TableParagraph"/>
              <w:widowControl w:val="false"/>
              <w:suppressAutoHyphens w:val="true"/>
              <w:bidi w:val="0"/>
              <w:spacing w:lineRule="auto" w:line="240" w:before="0" w:after="0"/>
              <w:ind w:left="0" w:right="57" w:hanging="0"/>
              <w:jc w:val="center"/>
              <w:rPr>
                <w:rFonts w:ascii="Times New Roman" w:hAnsi="Times New Roman" w:eastAsia="Times New Roman" w:cs="Times New Roman"/>
                <w:color w:val="00000A"/>
                <w:sz w:val="24"/>
                <w:szCs w:val="24"/>
                <w:lang w:val="pt-PT" w:eastAsia="en-US" w:bidi="ar-SA"/>
              </w:rPr>
            </w:pPr>
            <w:r>
              <w:rPr>
                <w:rFonts w:eastAsia="Times New Roman" w:cs="Times New Roman"/>
                <w:b/>
                <w:bCs/>
                <w:color w:val="00000A"/>
                <w:kern w:val="0"/>
                <w:sz w:val="21"/>
                <w:szCs w:val="21"/>
                <w:lang w:val="pt-PT" w:eastAsia="en-US" w:bidi="ar-SA"/>
              </w:rPr>
              <w:t xml:space="preserve">R$ </w:t>
            </w:r>
            <w:r>
              <w:rPr>
                <w:rFonts w:eastAsia="Times New Roman" w:cs="Times New Roman"/>
                <w:b/>
                <w:bCs/>
                <w:color w:val="00000A"/>
                <w:kern w:val="0"/>
                <w:sz w:val="21"/>
                <w:szCs w:val="21"/>
                <w:lang w:val="pt-PT" w:eastAsia="en-US" w:bidi="ar-SA"/>
              </w:rPr>
              <w:t>44.611,82</w:t>
            </w:r>
          </w:p>
        </w:tc>
      </w:tr>
    </w:tbl>
    <w:p>
      <w:pPr>
        <w:pStyle w:val="Normal"/>
        <w:widowControl/>
        <w:tabs>
          <w:tab w:val="clear" w:pos="720"/>
          <w:tab w:val="left" w:pos="678" w:leader="none"/>
          <w:tab w:val="left" w:pos="679" w:leader="none"/>
        </w:tabs>
        <w:overflowPunct w:val="true"/>
        <w:bidi w:val="0"/>
        <w:spacing w:lineRule="auto" w:line="240" w:before="0" w:after="0"/>
        <w:ind w:left="0" w:right="0" w:hanging="0"/>
        <w:jc w:val="both"/>
        <w:rPr>
          <w:color w:val="FF0000"/>
        </w:rPr>
      </w:pPr>
      <w:r>
        <w:rPr>
          <w:color w:val="FF0000"/>
        </w:rPr>
      </w:r>
    </w:p>
    <w:p>
      <w:pPr>
        <w:pStyle w:val="ListParagraph"/>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9"/>
          <w:sz w:val="24"/>
        </w:rPr>
        <w:t>Caso o item apresente descrição um pouco diferente daquela registrada no sistema, deverá ser considerada a constante neste documento, tendo em vista, em alguns casos, não haver catmat/catserv disponível com a descrição exata do item pretendido.</w:t>
      </w:r>
    </w:p>
    <w:p>
      <w:pPr>
        <w:pStyle w:val="ListParagraph"/>
        <w:widowControl/>
        <w:numPr>
          <w:ilvl w:val="0"/>
          <w:numId w:val="0"/>
        </w:numPr>
        <w:tabs>
          <w:tab w:val="clear" w:pos="720"/>
          <w:tab w:val="left" w:pos="678" w:leader="none"/>
          <w:tab w:val="left" w:pos="679" w:leader="none"/>
        </w:tabs>
        <w:overflowPunct w:val="true"/>
        <w:bidi w:val="0"/>
        <w:spacing w:lineRule="auto" w:line="360" w:before="0" w:after="0"/>
        <w:ind w:left="112" w:right="0" w:hanging="0"/>
        <w:jc w:val="both"/>
        <w:rPr>
          <w:i w:val="false"/>
          <w:i w:val="false"/>
          <w:iCs w:val="false"/>
          <w:color w:val="000009"/>
          <w:sz w:val="24"/>
        </w:rPr>
      </w:pPr>
      <w:r>
        <w:rPr>
          <w:i w:val="false"/>
          <w:iCs w:val="false"/>
          <w:color w:val="000009"/>
          <w:sz w:val="24"/>
        </w:rPr>
      </w:r>
    </w:p>
    <w:p>
      <w:pPr>
        <w:pStyle w:val="Ttulo1"/>
        <w:widowControl/>
        <w:numPr>
          <w:ilvl w:val="0"/>
          <w:numId w:val="1"/>
        </w:numPr>
        <w:tabs>
          <w:tab w:val="clear" w:pos="720"/>
          <w:tab w:val="left" w:pos="678" w:leader="none"/>
          <w:tab w:val="left" w:pos="679" w:leader="none"/>
        </w:tabs>
        <w:overflowPunct w:val="true"/>
        <w:bidi w:val="0"/>
        <w:spacing w:lineRule="auto" w:line="240" w:before="66" w:after="0"/>
        <w:ind w:left="680" w:right="0" w:hanging="680"/>
        <w:jc w:val="left"/>
        <w:outlineLvl w:val="1"/>
        <w:rPr/>
      </w:pPr>
      <w:r>
        <w:rPr>
          <w:color w:val="000009"/>
        </w:rPr>
        <w:t>LOCAL DE ENTREGA</w:t>
      </w:r>
    </w:p>
    <w:p>
      <w:pPr>
        <w:pStyle w:val="ListParagraph"/>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A"/>
          <w:sz w:val="24"/>
        </w:rPr>
        <w:t xml:space="preserve">Os materiais deverão ser entregues no 23º Batalhão Logístico de Selva no seguinte endereço: </w:t>
      </w:r>
      <w:r>
        <w:rPr>
          <w:rFonts w:cs="Times New Roman"/>
          <w:i w:val="false"/>
          <w:iCs w:val="false"/>
          <w:strike w:val="false"/>
          <w:dstrike w:val="false"/>
          <w:color w:val="00000A"/>
          <w:sz w:val="24"/>
          <w:szCs w:val="24"/>
        </w:rPr>
        <w:t>BR-230 Rodovia Transamazônica, km 9, Nova Marbá, Marabá-PA, CEP 68.507-765.</w:t>
      </w:r>
    </w:p>
    <w:p>
      <w:pPr>
        <w:pStyle w:val="ListParagraph"/>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9"/>
          <w:sz w:val="24"/>
        </w:rPr>
        <w:t xml:space="preserve">Horário de entrega: das 09:45h às 11:45h e das 13:30h às 16:45h, de segunda-feira a quinta-feira e entre as 09:00h às 11:45h na sexta-feira, apenas para entrega em dias úteis. E-mail: </w:t>
      </w:r>
      <w:hyperlink r:id="rId5">
        <w:r>
          <w:rPr>
            <w:rStyle w:val="LinkdaInternet"/>
            <w:i w:val="false"/>
            <w:iCs w:val="false"/>
            <w:color w:val="000000"/>
            <w:sz w:val="24"/>
            <w:u w:val="none"/>
          </w:rPr>
          <w:t>almoxarifado23blog@gmail.com</w:t>
        </w:r>
      </w:hyperlink>
      <w:r>
        <w:rPr>
          <w:i w:val="false"/>
          <w:iCs w:val="false"/>
          <w:color w:val="000000"/>
          <w:sz w:val="24"/>
        </w:rPr>
        <w:t>, Telefone: (94) 3219-8134 – Almoxarifado.</w:t>
      </w:r>
    </w:p>
    <w:p>
      <w:pPr>
        <w:pStyle w:val="Corpodotexto"/>
        <w:spacing w:lineRule="auto" w:line="240"/>
        <w:rPr>
          <w:i/>
          <w:i/>
          <w:sz w:val="22"/>
        </w:rPr>
      </w:pPr>
      <w:r>
        <w:rPr>
          <w:i/>
          <w:sz w:val="22"/>
        </w:rPr>
      </w:r>
    </w:p>
    <w:p>
      <w:pPr>
        <w:pStyle w:val="Ttulo1"/>
        <w:widowControl/>
        <w:numPr>
          <w:ilvl w:val="0"/>
          <w:numId w:val="1"/>
        </w:numPr>
        <w:tabs>
          <w:tab w:val="clear" w:pos="720"/>
          <w:tab w:val="left" w:pos="678" w:leader="none"/>
          <w:tab w:val="left" w:pos="679" w:leader="none"/>
        </w:tabs>
        <w:overflowPunct w:val="true"/>
        <w:bidi w:val="0"/>
        <w:spacing w:lineRule="auto" w:line="240" w:before="0" w:after="0"/>
        <w:ind w:left="0" w:right="0" w:hanging="0"/>
        <w:jc w:val="left"/>
        <w:outlineLvl w:val="1"/>
        <w:rPr/>
      </w:pPr>
      <w:r>
        <w:rPr>
          <w:color w:val="000009"/>
        </w:rPr>
        <w:t xml:space="preserve">DO PRAZO E DAS CONDIÇÕES DE ENTREGA DOS MATERIAIS </w:t>
      </w:r>
    </w:p>
    <w:p>
      <w:pPr>
        <w:pStyle w:val="ListParagraph"/>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color w:val="000000"/>
        </w:rPr>
      </w:pPr>
      <w:r>
        <w:rPr>
          <w:i w:val="false"/>
          <w:iCs w:val="false"/>
          <w:color w:val="000000"/>
          <w:sz w:val="24"/>
        </w:rPr>
        <w:t>A Contratada deverá realizar a entrega dos materiais no endereço acima citado, no prazo máximo de 20 (vinte) dias corridos, contados a partir da retirada/recebimento da nota de empenho pela contratada.</w:t>
      </w:r>
    </w:p>
    <w:p>
      <w:pPr>
        <w:pStyle w:val="ListParagraph"/>
        <w:widowControl/>
        <w:numPr>
          <w:ilvl w:val="0"/>
          <w:numId w:val="0"/>
        </w:numPr>
        <w:tabs>
          <w:tab w:val="clear" w:pos="720"/>
          <w:tab w:val="left" w:pos="678" w:leader="none"/>
          <w:tab w:val="left" w:pos="679" w:leader="none"/>
        </w:tabs>
        <w:overflowPunct w:val="true"/>
        <w:bidi w:val="0"/>
        <w:spacing w:lineRule="auto" w:line="360" w:before="0" w:after="0"/>
        <w:ind w:left="0" w:right="0" w:hanging="0"/>
        <w:jc w:val="both"/>
        <w:rPr>
          <w:color w:val="800000"/>
        </w:rPr>
      </w:pPr>
      <w:r>
        <w:rPr>
          <w:i w:val="false"/>
          <w:iCs w:val="false"/>
          <w:color w:val="000000"/>
          <w:sz w:val="24"/>
        </w:rPr>
        <w:t xml:space="preserve">3.1.1. </w:t>
      </w:r>
      <w:r>
        <w:rPr>
          <w:b w:val="false"/>
          <w:i w:val="false"/>
          <w:iCs w:val="false"/>
          <w:color w:val="000000"/>
          <w:sz w:val="24"/>
        </w:rPr>
        <w:t>A contagem do prazo para entrega iniciará a partir da confirmação do recebimento do pedido e da nota de empenho, que serão enviados através do e-mail cadastrado no SICAF ou registrado no sistema.</w:t>
      </w:r>
    </w:p>
    <w:p>
      <w:pPr>
        <w:pStyle w:val="ListParagraph"/>
        <w:widowControl/>
        <w:numPr>
          <w:ilvl w:val="0"/>
          <w:numId w:val="0"/>
        </w:numPr>
        <w:tabs>
          <w:tab w:val="clear" w:pos="720"/>
          <w:tab w:val="left" w:pos="678" w:leader="none"/>
          <w:tab w:val="left" w:pos="679" w:leader="none"/>
        </w:tabs>
        <w:overflowPunct w:val="true"/>
        <w:bidi w:val="0"/>
        <w:spacing w:lineRule="auto" w:line="360" w:before="0" w:after="0"/>
        <w:ind w:left="0" w:right="0" w:hanging="0"/>
        <w:jc w:val="both"/>
        <w:rPr>
          <w:color w:val="800000"/>
        </w:rPr>
      </w:pPr>
      <w:r>
        <w:rPr>
          <w:i w:val="false"/>
          <w:iCs w:val="false"/>
          <w:color w:val="000000"/>
          <w:sz w:val="24"/>
        </w:rPr>
        <w:t>3.1.1.1. Caso haja alteração do e-mail utilizado pela empresa para recebimento dos pedidos, esta deverá informá-lo ao 23º B Log Sl de imediato.</w:t>
      </w:r>
    </w:p>
    <w:p>
      <w:pPr>
        <w:pStyle w:val="ListParagraph"/>
        <w:widowControl/>
        <w:numPr>
          <w:ilvl w:val="0"/>
          <w:numId w:val="0"/>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A"/>
          <w:sz w:val="24"/>
        </w:rPr>
        <w:t>3.1.2. Na hipótese de a confirmação a que se refere o item 3.1.1. não ser realizada em até 3 (três) dias úteis, reputar-se-á como confirmada a partir desta data, iniciando-se o prazo para entrega.</w:t>
      </w:r>
    </w:p>
    <w:p>
      <w:pPr>
        <w:pStyle w:val="ListParagraph"/>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A"/>
          <w:sz w:val="24"/>
        </w:rPr>
        <w:t xml:space="preserve">Os bens serão recebidos provisoriamente no prazo de 5 (cinco) dias, pelo (a) representante do </w:t>
      </w:r>
      <w:r>
        <w:rPr>
          <w:i w:val="false"/>
          <w:iCs w:val="false"/>
          <w:color w:val="000000"/>
          <w:sz w:val="24"/>
        </w:rPr>
        <w:t>almoxarifado</w:t>
      </w:r>
      <w:r>
        <w:rPr>
          <w:i w:val="false"/>
          <w:iCs w:val="false"/>
          <w:color w:val="00000A"/>
          <w:sz w:val="24"/>
        </w:rPr>
        <w:t>, para efeito de posterior verificação de sua conformidade com as especificações constantes neste documento e na proposta.</w:t>
      </w:r>
    </w:p>
    <w:p>
      <w:pPr>
        <w:pStyle w:val="ListParagraph"/>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A"/>
          <w:sz w:val="24"/>
        </w:rPr>
        <w:t>Considera-se o material entregue quando descarregado no local de entrega, sendo de responsabilidade da contratada a descarga dos materiais.</w:t>
      </w:r>
    </w:p>
    <w:p>
      <w:pPr>
        <w:pStyle w:val="ListParagraph"/>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A"/>
          <w:sz w:val="24"/>
        </w:rPr>
        <w:t>A contratada não disponibilizará pessoal ou material de apoio para a descarga dos materiais no local de entrega.</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A"/>
          <w:sz w:val="24"/>
        </w:rPr>
        <w:t>Os bens poderão ser rejeitados, no todo ou em parte, quando em desacordo com as especificações constantes neste documento e na proposta, devendo ser substituídos no</w:t>
      </w:r>
      <w:r>
        <w:rPr>
          <w:rFonts w:eastAsia="Times New Roman" w:cs="Times New Roman"/>
          <w:i w:val="false"/>
          <w:iCs w:val="false"/>
          <w:color w:val="00000A"/>
          <w:sz w:val="24"/>
          <w:szCs w:val="24"/>
          <w:lang w:val="pt-PT" w:eastAsia="en-US" w:bidi="ar-SA"/>
        </w:rPr>
        <w:t xml:space="preserve"> prazo de 10 (dez)</w:t>
      </w:r>
      <w:r>
        <w:rPr>
          <w:rFonts w:ascii="Calibri;serif" w:hAnsi="Calibri;serif"/>
          <w:i w:val="false"/>
          <w:iCs w:val="false"/>
          <w:color w:val="00000A"/>
          <w:sz w:val="24"/>
        </w:rPr>
        <w:t xml:space="preserve"> </w:t>
      </w:r>
      <w:r>
        <w:rPr>
          <w:rFonts w:eastAsia="Times New Roman" w:cs="Times New Roman"/>
          <w:i w:val="false"/>
          <w:iCs w:val="false"/>
          <w:color w:val="00000A"/>
          <w:sz w:val="24"/>
          <w:szCs w:val="24"/>
          <w:lang w:val="pt-PT" w:eastAsia="en-US" w:bidi="ar-SA"/>
        </w:rPr>
        <w:t>dias</w:t>
      </w:r>
      <w:r>
        <w:rPr>
          <w:i w:val="false"/>
          <w:iCs w:val="false"/>
          <w:color w:val="00000A"/>
          <w:sz w:val="24"/>
        </w:rPr>
        <w:t>, a contar da notificação da contratada, às suas custas, sem prejuízo da aplicação das penalidades.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A"/>
          <w:sz w:val="24"/>
        </w:rPr>
        <w:t>Dependendo do grau de complexibilidade, os bens poderão se recebidos definitivamente no prazo de 15 (quinze) dias, contados do recebimento provisório, após a verificação da qualidade e quantidade do material e consequente aceitação mediante termo circunstanciado.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A"/>
          <w:sz w:val="24"/>
        </w:rPr>
        <w:t>Na hipótese de a verificação a que se refere o subitem anterior não ser procedida dentro do prazo fixado, reputar-se-á como realizada, consumando-se o recebimento definitivo no dia do esgotamento do prazo.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color w:val="00000A"/>
          <w:sz w:val="24"/>
        </w:rPr>
        <w:t>O recebimento provisório ou definitivo do objeto não exclui a responsabilidade da contratada pelos prejuízos resultantes da incorreta execução da contratação.</w:t>
      </w:r>
    </w:p>
    <w:p>
      <w:pPr>
        <w:pStyle w:val="Corpodotexto"/>
        <w:widowControl/>
        <w:tabs>
          <w:tab w:val="clear" w:pos="720"/>
          <w:tab w:val="left" w:pos="678" w:leader="none"/>
          <w:tab w:val="left" w:pos="679" w:leader="none"/>
        </w:tabs>
        <w:overflowPunct w:val="true"/>
        <w:bidi w:val="0"/>
        <w:spacing w:lineRule="auto" w:line="240" w:before="0" w:after="0"/>
        <w:ind w:left="0" w:right="0" w:hanging="0"/>
        <w:jc w:val="both"/>
        <w:rPr>
          <w:rFonts w:ascii="Times New Roman" w:hAnsi="Times New Roman"/>
          <w:i w:val="false"/>
          <w:i w:val="false"/>
          <w:iCs w:val="false"/>
          <w:color w:val="FF0000"/>
          <w:sz w:val="24"/>
        </w:rPr>
      </w:pPr>
      <w:r>
        <w:rPr>
          <w:i w:val="false"/>
          <w:iCs w:val="false"/>
          <w:color w:val="FF0000"/>
          <w:sz w:val="24"/>
        </w:rPr>
      </w:r>
    </w:p>
    <w:p>
      <w:pPr>
        <w:pStyle w:val="Ttulo1"/>
        <w:widowControl/>
        <w:numPr>
          <w:ilvl w:val="0"/>
          <w:numId w:val="1"/>
        </w:numPr>
        <w:tabs>
          <w:tab w:val="clear" w:pos="720"/>
          <w:tab w:val="left" w:pos="678" w:leader="none"/>
          <w:tab w:val="left" w:pos="679" w:leader="none"/>
        </w:tabs>
        <w:overflowPunct w:val="true"/>
        <w:bidi w:val="0"/>
        <w:spacing w:lineRule="auto" w:line="240" w:before="0" w:after="0"/>
        <w:ind w:left="680" w:right="0" w:hanging="680"/>
        <w:jc w:val="left"/>
        <w:outlineLvl w:val="1"/>
        <w:rPr/>
      </w:pPr>
      <w:r>
        <w:rPr>
          <w:color w:val="000009"/>
        </w:rPr>
        <w:t>PARTICIPANTES MICROEMPRESAS E EMPRESAS DE PEQUENO PORTE</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rFonts w:ascii="Times New Roman;serif" w:hAnsi="Times New Roman;serif"/>
          <w:i w:val="false"/>
          <w:iCs w:val="false"/>
          <w:strike w:val="false"/>
          <w:dstrike w:val="false"/>
          <w:color w:val="00000A"/>
          <w:sz w:val="24"/>
          <w:u w:val="none"/>
          <w:effect w:val="none"/>
        </w:rPr>
        <w:t>Em face do valor do objeto, as participantes são microempresas, empresas de pequeno porte e sociedades cooperativas.</w:t>
      </w:r>
      <w:r>
        <w:rPr>
          <w:rFonts w:ascii="Times New Roman;serif" w:hAnsi="Times New Roman;serif"/>
          <w:i w:val="false"/>
          <w:iCs w:val="false"/>
          <w:strike w:val="false"/>
          <w:dstrike w:val="false"/>
          <w:color w:val="FF0000"/>
          <w:sz w:val="24"/>
          <w:u w:val="none"/>
          <w:effect w:val="none"/>
        </w:rPr>
        <w:t xml:space="preserve"> </w:t>
      </w:r>
    </w:p>
    <w:p>
      <w:pPr>
        <w:pStyle w:val="Corpodotexto"/>
        <w:widowControl/>
        <w:numPr>
          <w:ilvl w:val="0"/>
          <w:numId w:val="0"/>
        </w:numPr>
        <w:tabs>
          <w:tab w:val="clear" w:pos="720"/>
          <w:tab w:val="left" w:pos="678" w:leader="none"/>
          <w:tab w:val="left" w:pos="679" w:leader="none"/>
        </w:tabs>
        <w:overflowPunct w:val="true"/>
        <w:bidi w:val="0"/>
        <w:spacing w:lineRule="auto" w:line="360" w:before="0" w:after="0"/>
        <w:ind w:left="112" w:right="0" w:hanging="0"/>
        <w:jc w:val="both"/>
        <w:rPr>
          <w:rFonts w:ascii="Times New Roman;serif" w:hAnsi="Times New Roman;serif"/>
          <w:i w:val="false"/>
          <w:i w:val="false"/>
          <w:iCs w:val="false"/>
          <w:strike w:val="false"/>
          <w:dstrike w:val="false"/>
          <w:color w:val="FF0000"/>
          <w:sz w:val="24"/>
          <w:u w:val="none"/>
          <w:effect w:val="none"/>
        </w:rPr>
      </w:pPr>
      <w:r>
        <w:rPr>
          <w:rFonts w:ascii="Times New Roman;serif" w:hAnsi="Times New Roman;serif"/>
          <w:i w:val="false"/>
          <w:iCs w:val="false"/>
          <w:strike w:val="false"/>
          <w:dstrike w:val="false"/>
          <w:color w:val="FF0000"/>
          <w:sz w:val="24"/>
          <w:u w:val="none"/>
          <w:effect w:val="none"/>
        </w:rPr>
      </w:r>
    </w:p>
    <w:p>
      <w:pPr>
        <w:pStyle w:val="Corpodotexto"/>
        <w:widowControl/>
        <w:numPr>
          <w:ilvl w:val="0"/>
          <w:numId w:val="1"/>
        </w:numPr>
        <w:tabs>
          <w:tab w:val="clear" w:pos="720"/>
          <w:tab w:val="left" w:pos="678" w:leader="none"/>
          <w:tab w:val="left" w:pos="679" w:leader="none"/>
        </w:tabs>
        <w:overflowPunct w:val="true"/>
        <w:bidi w:val="0"/>
        <w:spacing w:lineRule="auto" w:line="240" w:before="0" w:after="0"/>
        <w:ind w:left="0" w:right="0" w:hanging="0"/>
        <w:jc w:val="both"/>
        <w:rPr/>
      </w:pPr>
      <w:r>
        <w:rPr>
          <w:b/>
          <w:bCs/>
          <w:i w:val="false"/>
          <w:sz w:val="24"/>
          <w:szCs w:val="24"/>
        </w:rPr>
        <w:t>CONDIÇÕES DE PARTICIPAÇÃO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É vedada a participação de consórcios e de empresas impedidas de licitar e/ou contratar com a Administração Pública, na forma estabelecida em lei.</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O envio de propostas e lances deverá ocorrer, exclusivamente, por meio eletrônico, pela Internet, no endereço eletrônico www.comprasnet.gov.br – Portal de Compras do Governo Federal – Comprasnet, vedada sua remessa em p</w:t>
      </w:r>
      <w:r>
        <w:rPr>
          <w:rFonts w:eastAsia="Times New Roman" w:cs="Times New Roman"/>
          <w:b w:val="false"/>
          <w:bCs w:val="false"/>
          <w:i w:val="false"/>
          <w:iCs/>
          <w:color w:val="00000A"/>
          <w:sz w:val="24"/>
          <w:szCs w:val="24"/>
          <w:lang w:val="pt-PT" w:eastAsia="en-US" w:bidi="ar-SA"/>
        </w:rPr>
        <w:t>apel. O intervalo mínimo de diferença de valores será de 0,01 (um) centavo.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A fim de aferir o atendimento das especificações exigidas para o item, referente ao produto ofertado pelo Fornecedor, o Gestor de Compras poderá solicitar, via email, para que seja disponibilizada a proposta comercial, acompanhada de documentos onde se possam aferir as características técnicas do material (manual, folder, fotos, etc).</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O fornecedor possuidores da melhor proposta para cada item deverá enviar, no prazo de até 02(duas) horas após o encerramento do certame e/ou notificação por e-mail, a proposta dos itens.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Será considerado vencedor da dispensa eletrônica aquele que apresentar, durante o período da cotação, o lance de menor valor, sendo-lhe adjudicado o objeto, desde que atenda as especificações exigidas para o item.</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Apresentar as documentações de regularidade junto ao INSS, FGTS, Receita Federal, CNDT, as quais poderão ser substituídas pela certidão emitida no SICAF, desde que apresentem datas vigentes, além disso, deverá apresentar a Declaração que não emprega menor.</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O 23º B Log Sl poderá anular ou cancelar a dispensa eletrônica, total ou parcialmente, sem que disso resulte, para o proponente, direito a qualquer indenização ou reclamação.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Será considerado vencedor da dispensa eletrônica aquele que apresentar, durante o período da cotação, o lance de menor valor sendo-lhe adjudicado o objeto, desde que atenda as especificações exigidas para o item.</w:t>
      </w:r>
    </w:p>
    <w:p>
      <w:pPr>
        <w:pStyle w:val="Corpodotexto"/>
        <w:widowControl/>
        <w:numPr>
          <w:ilvl w:val="0"/>
          <w:numId w:val="0"/>
        </w:numPr>
        <w:tabs>
          <w:tab w:val="clear" w:pos="720"/>
          <w:tab w:val="left" w:pos="678" w:leader="none"/>
          <w:tab w:val="left" w:pos="679" w:leader="none"/>
        </w:tabs>
        <w:overflowPunct w:val="true"/>
        <w:bidi w:val="0"/>
        <w:spacing w:lineRule="auto" w:line="240" w:before="0" w:after="0"/>
        <w:ind w:left="0" w:right="0" w:hanging="0"/>
        <w:jc w:val="both"/>
        <w:rPr>
          <w:b w:val="false"/>
          <w:b w:val="false"/>
          <w:bCs w:val="false"/>
          <w:i w:val="false"/>
          <w:i w:val="false"/>
          <w:sz w:val="24"/>
          <w:szCs w:val="24"/>
        </w:rPr>
      </w:pPr>
      <w:r>
        <w:rPr>
          <w:b w:val="false"/>
          <w:bCs w:val="false"/>
          <w:i w:val="false"/>
          <w:sz w:val="24"/>
          <w:szCs w:val="24"/>
        </w:rPr>
      </w:r>
    </w:p>
    <w:p>
      <w:pPr>
        <w:pStyle w:val="Corpodotexto"/>
        <w:widowControl/>
        <w:numPr>
          <w:ilvl w:val="0"/>
          <w:numId w:val="1"/>
        </w:numPr>
        <w:tabs>
          <w:tab w:val="clear" w:pos="720"/>
          <w:tab w:val="left" w:pos="678" w:leader="none"/>
          <w:tab w:val="left" w:pos="679" w:leader="none"/>
        </w:tabs>
        <w:overflowPunct w:val="true"/>
        <w:bidi w:val="0"/>
        <w:spacing w:lineRule="auto" w:line="240" w:before="0" w:after="0"/>
        <w:ind w:left="0" w:right="0" w:hanging="0"/>
        <w:jc w:val="both"/>
        <w:rPr/>
      </w:pPr>
      <w:r>
        <w:rPr>
          <w:b/>
          <w:bCs/>
          <w:i w:val="false"/>
          <w:sz w:val="24"/>
          <w:szCs w:val="24"/>
        </w:rPr>
        <w:t xml:space="preserve"> </w:t>
      </w:r>
      <w:r>
        <w:rPr>
          <w:b/>
          <w:bCs/>
          <w:i w:val="false"/>
          <w:iCs w:val="false"/>
          <w:sz w:val="24"/>
          <w:szCs w:val="24"/>
        </w:rPr>
        <w:t>CONTRATAÇÃO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iCs w:val="false"/>
          <w:sz w:val="24"/>
          <w:szCs w:val="24"/>
        </w:rPr>
        <w:t>As contratações oriundas das dispensas eletrônicas serão formalizadas pela emissão de Nota de Empenho, a qual será encaminhada ao adjudicatário.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iCs w:val="false"/>
          <w:sz w:val="24"/>
          <w:szCs w:val="24"/>
        </w:rPr>
        <w:t xml:space="preserve">Em caso de manifestação de desistência do fornecedor, fica caracterizado o descumprimento total da obrigação assumida, consoante o estabelecido no </w:t>
      </w:r>
      <w:r>
        <w:rPr>
          <w:b w:val="false"/>
          <w:bCs w:val="false"/>
          <w:i w:val="false"/>
          <w:iCs w:val="false"/>
          <w:color w:val="000000"/>
          <w:sz w:val="24"/>
          <w:szCs w:val="24"/>
        </w:rPr>
        <w:t xml:space="preserve">§5º </w:t>
      </w:r>
      <w:bookmarkStart w:id="1" w:name="__DdeLink__10969_1915499757"/>
      <w:r>
        <w:rPr>
          <w:b w:val="false"/>
          <w:bCs w:val="false"/>
          <w:i w:val="false"/>
          <w:iCs w:val="false"/>
          <w:color w:val="000000"/>
          <w:sz w:val="24"/>
          <w:szCs w:val="24"/>
        </w:rPr>
        <w:t>Art 90 Lei nº 14.133/2021</w:t>
      </w:r>
      <w:bookmarkEnd w:id="1"/>
      <w:r>
        <w:rPr>
          <w:b w:val="false"/>
          <w:bCs w:val="false"/>
          <w:i w:val="false"/>
          <w:iCs w:val="false"/>
          <w:sz w:val="24"/>
          <w:szCs w:val="24"/>
        </w:rPr>
        <w:t>, sujeitando-o às penalidades legalmente estabelecidas.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iCs w:val="false"/>
          <w:sz w:val="24"/>
          <w:szCs w:val="24"/>
        </w:rPr>
        <w:t xml:space="preserve">A anulação do procedimento licitatório por motivo de ilegalidade não gera obrigação de indenizar, ressalvado o disposto no parágrafo único do </w:t>
      </w:r>
      <w:r>
        <w:rPr>
          <w:b w:val="false"/>
          <w:bCs w:val="false"/>
          <w:i w:val="false"/>
          <w:iCs w:val="false"/>
          <w:color w:val="000000"/>
          <w:sz w:val="24"/>
          <w:szCs w:val="24"/>
        </w:rPr>
        <w:t xml:space="preserve">Art 149 Lei nº 14.133/2021 </w:t>
      </w:r>
      <w:r>
        <w:rPr>
          <w:b w:val="false"/>
          <w:bCs w:val="false"/>
          <w:i w:val="false"/>
          <w:iCs w:val="false"/>
          <w:sz w:val="24"/>
          <w:szCs w:val="24"/>
        </w:rPr>
        <w:t>.</w:t>
      </w:r>
    </w:p>
    <w:p>
      <w:pPr>
        <w:pStyle w:val="Corpodotexto"/>
        <w:widowControl/>
        <w:numPr>
          <w:ilvl w:val="0"/>
          <w:numId w:val="0"/>
        </w:numPr>
        <w:tabs>
          <w:tab w:val="clear" w:pos="720"/>
          <w:tab w:val="left" w:pos="678" w:leader="none"/>
          <w:tab w:val="left" w:pos="679" w:leader="none"/>
        </w:tabs>
        <w:overflowPunct w:val="true"/>
        <w:bidi w:val="0"/>
        <w:spacing w:lineRule="auto" w:line="360" w:before="0" w:after="0"/>
        <w:ind w:left="0" w:right="0" w:hanging="0"/>
        <w:jc w:val="both"/>
        <w:rPr>
          <w:b/>
          <w:b/>
          <w:bCs/>
          <w:i w:val="false"/>
          <w:i w:val="false"/>
          <w:iCs w:val="false"/>
          <w:sz w:val="24"/>
          <w:szCs w:val="24"/>
        </w:rPr>
      </w:pPr>
      <w:r>
        <w:rPr>
          <w:b/>
          <w:bCs/>
          <w:i w:val="false"/>
          <w:iCs w:val="false"/>
          <w:sz w:val="24"/>
          <w:szCs w:val="24"/>
        </w:rPr>
      </w:r>
    </w:p>
    <w:p>
      <w:pPr>
        <w:pStyle w:val="Corpodotexto"/>
        <w:widowControl/>
        <w:numPr>
          <w:ilvl w:val="0"/>
          <w:numId w:val="1"/>
        </w:numPr>
        <w:tabs>
          <w:tab w:val="clear" w:pos="720"/>
          <w:tab w:val="left" w:pos="678" w:leader="none"/>
          <w:tab w:val="left" w:pos="679" w:leader="none"/>
        </w:tabs>
        <w:overflowPunct w:val="true"/>
        <w:bidi w:val="0"/>
        <w:spacing w:lineRule="auto" w:line="240" w:before="0" w:after="0"/>
        <w:ind w:left="0" w:right="0" w:hanging="0"/>
        <w:jc w:val="both"/>
        <w:rPr/>
      </w:pPr>
      <w:r>
        <w:rPr>
          <w:b/>
          <w:bCs/>
          <w:i w:val="false"/>
          <w:sz w:val="24"/>
          <w:szCs w:val="24"/>
        </w:rPr>
        <w:t>DAS OBRIGAÇÕES DA CONTRATADA</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A Contratada deverá cumprir todas as obrigações constantes neste documento/legislações correlatas, e na sua proposta, assumindo como exclusivamente seus os riscos e as despesas decorrentes da boa e perfeita execução do objeto e, ainda:</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Efetuar a entrega do objeto em perfeitas condições, conforme especificações, prazo e local constantes deste documento, acompanhado da respectiva nota fiscal, na qual constarão as indicações referentes a: número da nota de empenho, marca, fabricante, modelo, e prazo de garantia do produto.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O objeto deve estar acompanhado do manual do usuário, com uma versão em português, e da relação da rede de assistência técnica autorizada.</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Responsabilizar-se pelos vícios e danos decorrentes do objeto, de acordo com os artigos 12. 13 e 17 a 27. do Código de Defesa do Consumidor (Lei n°8.078. De 1990).</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Substituir, reparar ou corrigir, às suas expensas, no prazo de 10 (dez) dias, o objeto com avarias ou defeitos.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Comunicar à Contratante, no prazo máximo de 24 (vinte e quatro) horas que antecede a data da entrega, os motivos que impossibilitem o cumprimento do prazo previsto, com a devida comprovação.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Manter, durante toda a execução do contrato, em compatibilidade com as obrigações assumidas, todas as condições de habilitação e qualificação exigidas na licitação.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Indicar preposto para representá-la durante a execução do contrato.</w:t>
      </w:r>
    </w:p>
    <w:p>
      <w:pPr>
        <w:pStyle w:val="Corpodotexto"/>
        <w:widowControl/>
        <w:numPr>
          <w:ilvl w:val="0"/>
          <w:numId w:val="0"/>
        </w:numPr>
        <w:tabs>
          <w:tab w:val="clear" w:pos="720"/>
          <w:tab w:val="left" w:pos="678" w:leader="none"/>
          <w:tab w:val="left" w:pos="679" w:leader="none"/>
        </w:tabs>
        <w:overflowPunct w:val="true"/>
        <w:bidi w:val="0"/>
        <w:spacing w:lineRule="auto" w:line="240" w:before="0" w:after="0"/>
        <w:ind w:left="0" w:right="0" w:hanging="0"/>
        <w:jc w:val="both"/>
        <w:rPr>
          <w:i w:val="false"/>
          <w:i w:val="false"/>
          <w:sz w:val="24"/>
          <w:szCs w:val="24"/>
        </w:rPr>
      </w:pPr>
      <w:r>
        <w:rPr>
          <w:i w:val="false"/>
          <w:sz w:val="24"/>
          <w:szCs w:val="24"/>
        </w:rPr>
      </w:r>
    </w:p>
    <w:p>
      <w:pPr>
        <w:pStyle w:val="Corpodotexto"/>
        <w:widowControl/>
        <w:numPr>
          <w:ilvl w:val="0"/>
          <w:numId w:val="1"/>
        </w:numPr>
        <w:tabs>
          <w:tab w:val="clear" w:pos="720"/>
          <w:tab w:val="left" w:pos="678" w:leader="none"/>
          <w:tab w:val="left" w:pos="679" w:leader="none"/>
        </w:tabs>
        <w:overflowPunct w:val="true"/>
        <w:bidi w:val="0"/>
        <w:spacing w:lineRule="auto" w:line="240" w:before="0" w:after="0"/>
        <w:ind w:left="0" w:right="0" w:hanging="0"/>
        <w:jc w:val="both"/>
        <w:rPr/>
      </w:pPr>
      <w:r>
        <w:rPr>
          <w:b/>
          <w:bCs/>
          <w:i w:val="false"/>
          <w:caps w:val="false"/>
          <w:smallCaps w:val="false"/>
          <w:sz w:val="24"/>
          <w:szCs w:val="24"/>
          <w:lang w:val="pt-PT"/>
        </w:rPr>
        <w:t>DAS OBRIGAÇÕES DA CONTRATANTE</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Encaminhar a Nota de Empenho para a Contratada, podendo para isso utilizar mensagem via email.</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Receber o objeto no prazo e condições estabelecidas neste termo e seus anexos.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Verificar minuciosamente, no prazo fixado, a conformidade dos bens recebidos provisoriamente com as especificações constantes deste Termo e da proposta, para fins de aceitação e recebimento definitivo.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Comunicar à Contratada, por escrito, sobre imperfeições, falhas ou irregularidades verificadas no objeto fornecido, para que seja substituído, reparado ou corrigido.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Acompanhar e fiscalizar o cumprimento das obrigações da Contratada, através de comissão/servidor especialmente designado.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Efetuar o pagamento à Contratada no valor correspondente ao fornecimento do objeto, no prazo e forma estabelecidos no Edital e seus anexos.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pPr>
        <w:pStyle w:val="Corpodotexto"/>
        <w:widowControl/>
        <w:numPr>
          <w:ilvl w:val="0"/>
          <w:numId w:val="0"/>
        </w:numPr>
        <w:tabs>
          <w:tab w:val="clear" w:pos="720"/>
          <w:tab w:val="left" w:pos="678" w:leader="none"/>
          <w:tab w:val="left" w:pos="679" w:leader="none"/>
        </w:tabs>
        <w:overflowPunct w:val="true"/>
        <w:bidi w:val="0"/>
        <w:spacing w:lineRule="auto" w:line="240" w:before="0" w:after="0"/>
        <w:ind w:left="0" w:right="0" w:hanging="0"/>
        <w:jc w:val="both"/>
        <w:rPr>
          <w:i w:val="false"/>
          <w:i w:val="false"/>
          <w:caps w:val="false"/>
          <w:smallCaps w:val="false"/>
          <w:sz w:val="24"/>
          <w:szCs w:val="24"/>
          <w:lang w:val="pt-PT"/>
        </w:rPr>
      </w:pPr>
      <w:r>
        <w:rPr>
          <w:i w:val="false"/>
          <w:caps w:val="false"/>
          <w:smallCaps w:val="false"/>
          <w:sz w:val="24"/>
          <w:szCs w:val="24"/>
          <w:lang w:val="pt-PT"/>
        </w:rPr>
      </w:r>
    </w:p>
    <w:p>
      <w:pPr>
        <w:pStyle w:val="Corpodotexto"/>
        <w:widowControl/>
        <w:numPr>
          <w:ilvl w:val="0"/>
          <w:numId w:val="1"/>
        </w:numPr>
        <w:tabs>
          <w:tab w:val="clear" w:pos="720"/>
          <w:tab w:val="left" w:pos="678" w:leader="none"/>
          <w:tab w:val="left" w:pos="679" w:leader="none"/>
        </w:tabs>
        <w:overflowPunct w:val="true"/>
        <w:bidi w:val="0"/>
        <w:spacing w:lineRule="auto" w:line="240" w:before="0" w:after="0"/>
        <w:ind w:left="0" w:right="0" w:hanging="0"/>
        <w:jc w:val="both"/>
        <w:rPr/>
      </w:pPr>
      <w:r>
        <w:rPr>
          <w:b/>
          <w:bCs/>
          <w:i w:val="false"/>
          <w:sz w:val="24"/>
          <w:szCs w:val="24"/>
        </w:rPr>
        <w:t>FATURAMENTO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A nota fiscal e/ou fatura deverá se emitida em nome do 23º B Log Sl, conforme dados da Nota de Empenho, fazendo constar a descrição/marca/quantidade do item fornecido/valor unitário/valor total.</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sz w:val="24"/>
          <w:szCs w:val="24"/>
        </w:rPr>
        <w:t>Caso a nota fiscal e/ou fatura contenha erro, o contratado se responsabilizará pela correção.</w:t>
      </w:r>
    </w:p>
    <w:p>
      <w:pPr>
        <w:pStyle w:val="Corpodotexto"/>
        <w:widowControl/>
        <w:numPr>
          <w:ilvl w:val="0"/>
          <w:numId w:val="0"/>
        </w:numPr>
        <w:tabs>
          <w:tab w:val="clear" w:pos="720"/>
          <w:tab w:val="left" w:pos="678" w:leader="none"/>
          <w:tab w:val="left" w:pos="679" w:leader="none"/>
        </w:tabs>
        <w:overflowPunct w:val="true"/>
        <w:bidi w:val="0"/>
        <w:spacing w:lineRule="auto" w:line="360" w:before="0" w:after="0"/>
        <w:ind w:left="112" w:right="0" w:hanging="0"/>
        <w:jc w:val="both"/>
        <w:rPr>
          <w:b w:val="false"/>
          <w:b w:val="false"/>
          <w:bCs w:val="false"/>
          <w:i w:val="false"/>
          <w:i w:val="false"/>
          <w:sz w:val="24"/>
          <w:szCs w:val="24"/>
        </w:rPr>
      </w:pPr>
      <w:r>
        <w:rPr>
          <w:b w:val="false"/>
          <w:bCs w:val="false"/>
          <w:i w:val="false"/>
          <w:sz w:val="24"/>
          <w:szCs w:val="24"/>
        </w:rPr>
      </w:r>
    </w:p>
    <w:p>
      <w:pPr>
        <w:pStyle w:val="Corpodotexto"/>
        <w:widowControl/>
        <w:numPr>
          <w:ilvl w:val="0"/>
          <w:numId w:val="1"/>
        </w:numPr>
        <w:tabs>
          <w:tab w:val="clear" w:pos="720"/>
          <w:tab w:val="left" w:pos="678" w:leader="none"/>
          <w:tab w:val="left" w:pos="679" w:leader="none"/>
        </w:tabs>
        <w:overflowPunct w:val="true"/>
        <w:bidi w:val="0"/>
        <w:spacing w:lineRule="auto" w:line="240" w:before="0" w:after="0"/>
        <w:ind w:left="0" w:right="0" w:hanging="0"/>
        <w:jc w:val="both"/>
        <w:rPr/>
      </w:pPr>
      <w:r>
        <w:rPr>
          <w:b/>
          <w:bCs/>
          <w:i w:val="false"/>
          <w:sz w:val="24"/>
          <w:szCs w:val="24"/>
        </w:rPr>
        <w:t xml:space="preserve"> </w:t>
      </w:r>
      <w:r>
        <w:rPr>
          <w:b/>
          <w:bCs/>
          <w:i w:val="false"/>
          <w:sz w:val="24"/>
          <w:szCs w:val="24"/>
        </w:rPr>
        <w:t>PRAZO PARA PAGAMENTO</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i w:val="false"/>
          <w:iCs w:val="false"/>
        </w:rPr>
        <w:t>O pagamento será efetuado mediante ordem bancária de pagamento, emitida pelo 23º B Log Sl, depois do recebimento definitivo do material e da apresentação da Nota Fiscal pela contratada, conforme discriminado nesta Cotação Eletrônica, no prazo de até 30 (trinta) dias úteis após recebimento definitivo.</w:t>
      </w:r>
    </w:p>
    <w:p>
      <w:pPr>
        <w:pStyle w:val="Corpodotexto"/>
        <w:widowControl/>
        <w:numPr>
          <w:ilvl w:val="0"/>
          <w:numId w:val="0"/>
        </w:numPr>
        <w:tabs>
          <w:tab w:val="clear" w:pos="720"/>
          <w:tab w:val="left" w:pos="678" w:leader="none"/>
          <w:tab w:val="left" w:pos="679" w:leader="none"/>
        </w:tabs>
        <w:overflowPunct w:val="true"/>
        <w:bidi w:val="0"/>
        <w:spacing w:lineRule="auto" w:line="360" w:before="0" w:after="0"/>
        <w:ind w:left="0" w:right="0" w:hanging="0"/>
        <w:jc w:val="both"/>
        <w:rPr>
          <w:i w:val="false"/>
          <w:i w:val="false"/>
          <w:iCs w:val="false"/>
        </w:rPr>
      </w:pPr>
      <w:r>
        <w:rPr>
          <w:i w:val="false"/>
          <w:iCs w:val="false"/>
        </w:rPr>
      </w:r>
    </w:p>
    <w:p>
      <w:pPr>
        <w:pStyle w:val="Corpodotexto"/>
        <w:widowControl/>
        <w:numPr>
          <w:ilvl w:val="0"/>
          <w:numId w:val="1"/>
        </w:numPr>
        <w:tabs>
          <w:tab w:val="clear" w:pos="720"/>
          <w:tab w:val="left" w:pos="678" w:leader="none"/>
          <w:tab w:val="left" w:pos="679" w:leader="none"/>
        </w:tabs>
        <w:overflowPunct w:val="true"/>
        <w:bidi w:val="0"/>
        <w:spacing w:lineRule="auto" w:line="240" w:before="0" w:after="0"/>
        <w:ind w:left="0" w:right="0" w:hanging="0"/>
        <w:jc w:val="both"/>
        <w:rPr/>
      </w:pPr>
      <w:r>
        <w:rPr>
          <w:b/>
          <w:bCs/>
          <w:i w:val="false"/>
          <w:caps w:val="false"/>
          <w:smallCaps w:val="false"/>
          <w:sz w:val="24"/>
          <w:szCs w:val="24"/>
          <w:lang w:val="pt-PT"/>
        </w:rPr>
        <w:t>RECURSOS ORÇAMENTÁRIOS</w:t>
      </w:r>
    </w:p>
    <w:tbl>
      <w:tblPr>
        <w:tblW w:w="10166" w:type="dxa"/>
        <w:jc w:val="left"/>
        <w:tblInd w:w="24" w:type="dxa"/>
        <w:tblCellMar>
          <w:top w:w="55" w:type="dxa"/>
          <w:left w:w="9" w:type="dxa"/>
          <w:bottom w:w="55" w:type="dxa"/>
          <w:right w:w="55" w:type="dxa"/>
        </w:tblCellMar>
      </w:tblPr>
      <w:tblGrid>
        <w:gridCol w:w="1452"/>
        <w:gridCol w:w="1452"/>
        <w:gridCol w:w="1452"/>
        <w:gridCol w:w="1434"/>
        <w:gridCol w:w="1453"/>
        <w:gridCol w:w="1459"/>
        <w:gridCol w:w="1463"/>
      </w:tblGrid>
      <w:tr>
        <w:trPr/>
        <w:tc>
          <w:tcPr>
            <w:tcW w:w="1452" w:type="dxa"/>
            <w:tcBorders>
              <w:top w:val="single" w:sz="2" w:space="0" w:color="000001"/>
              <w:left w:val="single" w:sz="2" w:space="0" w:color="000001"/>
              <w:bottom w:val="single" w:sz="2" w:space="0" w:color="000001"/>
            </w:tcBorders>
            <w:shd w:fill="auto" w:val="clear"/>
            <w:vAlign w:val="center"/>
          </w:tcPr>
          <w:p>
            <w:pPr>
              <w:pStyle w:val="Contedodatabela"/>
              <w:rPr>
                <w:sz w:val="16"/>
                <w:szCs w:val="16"/>
              </w:rPr>
            </w:pPr>
            <w:r>
              <w:rPr>
                <w:sz w:val="16"/>
                <w:szCs w:val="16"/>
              </w:rPr>
            </w:r>
          </w:p>
        </w:tc>
        <w:tc>
          <w:tcPr>
            <w:tcW w:w="1452" w:type="dxa"/>
            <w:tcBorders>
              <w:top w:val="single" w:sz="2" w:space="0" w:color="000001"/>
              <w:left w:val="single" w:sz="2" w:space="0" w:color="000001"/>
              <w:bottom w:val="single" w:sz="2" w:space="0" w:color="000001"/>
            </w:tcBorders>
            <w:shd w:fill="auto" w:val="clear"/>
            <w:vAlign w:val="center"/>
          </w:tcPr>
          <w:p>
            <w:pPr>
              <w:pStyle w:val="Normal"/>
              <w:widowControl w:val="false"/>
              <w:snapToGrid w:val="false"/>
              <w:spacing w:before="0" w:after="0"/>
              <w:jc w:val="center"/>
              <w:rPr>
                <w:b/>
                <w:b/>
                <w:sz w:val="16"/>
                <w:szCs w:val="16"/>
              </w:rPr>
            </w:pPr>
            <w:r>
              <w:rPr>
                <w:b/>
                <w:sz w:val="16"/>
                <w:szCs w:val="16"/>
              </w:rPr>
              <w:t>NOTA DE CRÉDITO</w:t>
            </w:r>
          </w:p>
        </w:tc>
        <w:tc>
          <w:tcPr>
            <w:tcW w:w="1452" w:type="dxa"/>
            <w:tcBorders>
              <w:top w:val="single" w:sz="2" w:space="0" w:color="000001"/>
              <w:left w:val="single" w:sz="2" w:space="0" w:color="000001"/>
              <w:bottom w:val="single" w:sz="2" w:space="0" w:color="000001"/>
            </w:tcBorders>
            <w:shd w:fill="auto" w:val="clear"/>
            <w:vAlign w:val="center"/>
          </w:tcPr>
          <w:p>
            <w:pPr>
              <w:pStyle w:val="Normal"/>
              <w:widowControl w:val="false"/>
              <w:snapToGrid w:val="false"/>
              <w:spacing w:before="0" w:after="0"/>
              <w:jc w:val="center"/>
              <w:rPr>
                <w:b/>
                <w:b/>
                <w:sz w:val="16"/>
                <w:szCs w:val="16"/>
              </w:rPr>
            </w:pPr>
            <w:r>
              <w:rPr>
                <w:b/>
                <w:sz w:val="16"/>
                <w:szCs w:val="16"/>
              </w:rPr>
              <w:t>GESTÃO</w:t>
            </w:r>
          </w:p>
        </w:tc>
        <w:tc>
          <w:tcPr>
            <w:tcW w:w="1434" w:type="dxa"/>
            <w:tcBorders>
              <w:top w:val="single" w:sz="2" w:space="0" w:color="000001"/>
              <w:left w:val="single" w:sz="2" w:space="0" w:color="000001"/>
              <w:bottom w:val="single" w:sz="2" w:space="0" w:color="000001"/>
            </w:tcBorders>
            <w:shd w:fill="auto" w:val="clear"/>
            <w:vAlign w:val="center"/>
          </w:tcPr>
          <w:p>
            <w:pPr>
              <w:pStyle w:val="Normal"/>
              <w:widowControl w:val="false"/>
              <w:snapToGrid w:val="false"/>
              <w:spacing w:before="0" w:after="0"/>
              <w:jc w:val="center"/>
              <w:rPr>
                <w:b/>
                <w:b/>
                <w:sz w:val="16"/>
                <w:szCs w:val="16"/>
              </w:rPr>
            </w:pPr>
            <w:r>
              <w:rPr>
                <w:b/>
                <w:sz w:val="16"/>
                <w:szCs w:val="16"/>
              </w:rPr>
              <w:t>PTRES</w:t>
            </w:r>
          </w:p>
        </w:tc>
        <w:tc>
          <w:tcPr>
            <w:tcW w:w="1453" w:type="dxa"/>
            <w:tcBorders>
              <w:top w:val="single" w:sz="2" w:space="0" w:color="000001"/>
              <w:left w:val="single" w:sz="2" w:space="0" w:color="000001"/>
              <w:bottom w:val="single" w:sz="2" w:space="0" w:color="000001"/>
            </w:tcBorders>
            <w:shd w:fill="auto" w:val="clear"/>
            <w:vAlign w:val="center"/>
          </w:tcPr>
          <w:p>
            <w:pPr>
              <w:pStyle w:val="Normal"/>
              <w:widowControl w:val="false"/>
              <w:snapToGrid w:val="false"/>
              <w:spacing w:before="0" w:after="0"/>
              <w:jc w:val="center"/>
              <w:rPr>
                <w:b/>
                <w:b/>
                <w:sz w:val="16"/>
                <w:szCs w:val="16"/>
              </w:rPr>
            </w:pPr>
            <w:r>
              <w:rPr>
                <w:b/>
                <w:sz w:val="16"/>
                <w:szCs w:val="16"/>
              </w:rPr>
              <w:t>FONTE DE RECURSOS</w:t>
            </w:r>
          </w:p>
        </w:tc>
        <w:tc>
          <w:tcPr>
            <w:tcW w:w="1459" w:type="dxa"/>
            <w:tcBorders>
              <w:top w:val="single" w:sz="2" w:space="0" w:color="000001"/>
              <w:left w:val="single" w:sz="2" w:space="0" w:color="000001"/>
              <w:bottom w:val="single" w:sz="2" w:space="0" w:color="000001"/>
            </w:tcBorders>
            <w:shd w:fill="auto" w:val="clear"/>
            <w:vAlign w:val="center"/>
          </w:tcPr>
          <w:p>
            <w:pPr>
              <w:pStyle w:val="Normal"/>
              <w:widowControl w:val="false"/>
              <w:snapToGrid w:val="false"/>
              <w:spacing w:before="0" w:after="0"/>
              <w:jc w:val="center"/>
              <w:rPr>
                <w:b/>
                <w:b/>
                <w:sz w:val="16"/>
                <w:szCs w:val="16"/>
              </w:rPr>
            </w:pPr>
            <w:r>
              <w:rPr>
                <w:b/>
                <w:sz w:val="16"/>
                <w:szCs w:val="16"/>
              </w:rPr>
              <w:t>NATUREZA DA DESPESA</w:t>
            </w:r>
          </w:p>
        </w:tc>
        <w:tc>
          <w:tcPr>
            <w:tcW w:w="1463"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napToGrid w:val="false"/>
              <w:spacing w:before="0" w:after="0"/>
              <w:jc w:val="center"/>
              <w:rPr>
                <w:b/>
                <w:b/>
                <w:sz w:val="16"/>
                <w:szCs w:val="16"/>
              </w:rPr>
            </w:pPr>
            <w:r>
              <w:rPr>
                <w:b/>
                <w:sz w:val="16"/>
                <w:szCs w:val="16"/>
              </w:rPr>
              <w:t>PLANO INTERNO</w:t>
            </w:r>
          </w:p>
        </w:tc>
      </w:tr>
      <w:tr>
        <w:trPr/>
        <w:tc>
          <w:tcPr>
            <w:tcW w:w="1452" w:type="dxa"/>
            <w:tcBorders>
              <w:top w:val="single" w:sz="2" w:space="0" w:color="000001"/>
              <w:left w:val="single" w:sz="2" w:space="0" w:color="000001"/>
              <w:bottom w:val="single" w:sz="2" w:space="0" w:color="000001"/>
            </w:tcBorders>
            <w:shd w:fill="auto" w:val="clear"/>
            <w:vAlign w:val="center"/>
          </w:tcPr>
          <w:p>
            <w:pPr>
              <w:pStyle w:val="Normal"/>
              <w:widowControl w:val="false"/>
              <w:snapToGrid w:val="false"/>
              <w:spacing w:before="0" w:after="0"/>
              <w:jc w:val="center"/>
              <w:rPr>
                <w:b/>
                <w:b/>
                <w:sz w:val="16"/>
                <w:szCs w:val="16"/>
              </w:rPr>
            </w:pPr>
            <w:r>
              <w:rPr>
                <w:b/>
                <w:sz w:val="16"/>
                <w:szCs w:val="16"/>
              </w:rPr>
              <w:t>MATERIAL DE CONSUMO</w:t>
            </w:r>
          </w:p>
        </w:tc>
        <w:tc>
          <w:tcPr>
            <w:tcW w:w="1452" w:type="dxa"/>
            <w:tcBorders>
              <w:top w:val="single" w:sz="2" w:space="0" w:color="000001"/>
              <w:left w:val="single" w:sz="2" w:space="0" w:color="000001"/>
              <w:bottom w:val="single" w:sz="2" w:space="0" w:color="000001"/>
            </w:tcBorders>
            <w:shd w:fill="auto" w:val="clear"/>
            <w:vAlign w:val="center"/>
          </w:tcPr>
          <w:p>
            <w:pPr>
              <w:pStyle w:val="Corpodotexto"/>
              <w:widowControl w:val="false"/>
              <w:suppressAutoHyphens w:val="true"/>
              <w:spacing w:before="0" w:after="0"/>
              <w:jc w:val="center"/>
              <w:rPr>
                <w:rStyle w:val="Fontepargpadro"/>
                <w:rFonts w:cs="Arial"/>
                <w:b w:val="false"/>
                <w:b w:val="false"/>
                <w:bCs w:val="false"/>
                <w:i w:val="false"/>
                <w:i w:val="false"/>
                <w:iCs w:val="false"/>
                <w:color w:val="000000"/>
                <w:sz w:val="16"/>
                <w:szCs w:val="16"/>
                <w:lang w:eastAsia="pt-BR" w:bidi="ar-SA"/>
              </w:rPr>
            </w:pPr>
            <w:r>
              <w:rPr>
                <w:rFonts w:cs="Arial"/>
                <w:b w:val="false"/>
                <w:bCs w:val="false"/>
                <w:i w:val="false"/>
                <w:iCs w:val="false"/>
                <w:color w:val="000000"/>
                <w:sz w:val="16"/>
                <w:szCs w:val="16"/>
                <w:lang w:eastAsia="pt-BR" w:bidi="ar-SA"/>
              </w:rPr>
            </w:r>
          </w:p>
        </w:tc>
        <w:tc>
          <w:tcPr>
            <w:tcW w:w="1452" w:type="dxa"/>
            <w:tcBorders>
              <w:top w:val="single" w:sz="2" w:space="0" w:color="000001"/>
              <w:left w:val="single" w:sz="2" w:space="0" w:color="000001"/>
              <w:bottom w:val="single" w:sz="2" w:space="0" w:color="000001"/>
            </w:tcBorders>
            <w:shd w:fill="auto" w:val="clear"/>
            <w:vAlign w:val="center"/>
          </w:tcPr>
          <w:p>
            <w:pPr>
              <w:pStyle w:val="Normal"/>
              <w:widowControl w:val="false"/>
              <w:snapToGrid w:val="false"/>
              <w:spacing w:before="0" w:after="0"/>
              <w:jc w:val="center"/>
              <w:rPr>
                <w:i w:val="false"/>
                <w:i w:val="false"/>
                <w:iCs w:val="false"/>
                <w:color w:val="000000"/>
              </w:rPr>
            </w:pPr>
            <w:r>
              <w:rPr>
                <w:i w:val="false"/>
                <w:iCs w:val="false"/>
                <w:color w:val="000000"/>
              </w:rPr>
            </w:r>
          </w:p>
        </w:tc>
        <w:tc>
          <w:tcPr>
            <w:tcW w:w="1434" w:type="dxa"/>
            <w:tcBorders>
              <w:top w:val="single" w:sz="2" w:space="0" w:color="000001"/>
              <w:left w:val="single" w:sz="2" w:space="0" w:color="000001"/>
              <w:bottom w:val="single" w:sz="2" w:space="0" w:color="000001"/>
            </w:tcBorders>
            <w:shd w:fill="auto" w:val="clear"/>
            <w:vAlign w:val="center"/>
          </w:tcPr>
          <w:p>
            <w:pPr>
              <w:pStyle w:val="Normal"/>
              <w:widowControl w:val="false"/>
              <w:suppressAutoHyphens w:val="true"/>
              <w:snapToGrid w:val="false"/>
              <w:spacing w:lineRule="auto" w:line="360" w:before="0" w:after="0"/>
              <w:jc w:val="center"/>
              <w:rPr>
                <w:color w:val="000000"/>
                <w:sz w:val="16"/>
                <w:szCs w:val="16"/>
              </w:rPr>
            </w:pPr>
            <w:r>
              <w:rPr>
                <w:color w:val="000000"/>
                <w:sz w:val="16"/>
                <w:szCs w:val="16"/>
              </w:rPr>
            </w:r>
          </w:p>
        </w:tc>
        <w:tc>
          <w:tcPr>
            <w:tcW w:w="1453" w:type="dxa"/>
            <w:tcBorders>
              <w:top w:val="single" w:sz="2" w:space="0" w:color="000001"/>
              <w:left w:val="single" w:sz="2" w:space="0" w:color="000001"/>
              <w:bottom w:val="single" w:sz="2" w:space="0" w:color="000001"/>
            </w:tcBorders>
            <w:shd w:fill="auto" w:val="clear"/>
            <w:vAlign w:val="center"/>
          </w:tcPr>
          <w:p>
            <w:pPr>
              <w:pStyle w:val="Normal"/>
              <w:widowControl w:val="false"/>
              <w:spacing w:lineRule="auto" w:line="360"/>
              <w:jc w:val="center"/>
              <w:rPr>
                <w:color w:val="000000"/>
                <w:sz w:val="16"/>
                <w:szCs w:val="16"/>
              </w:rPr>
            </w:pPr>
            <w:r>
              <w:rPr>
                <w:color w:val="000000"/>
                <w:sz w:val="16"/>
                <w:szCs w:val="16"/>
              </w:rPr>
            </w:r>
          </w:p>
        </w:tc>
        <w:tc>
          <w:tcPr>
            <w:tcW w:w="1459" w:type="dxa"/>
            <w:tcBorders>
              <w:top w:val="single" w:sz="2" w:space="0" w:color="000001"/>
              <w:left w:val="single" w:sz="2" w:space="0" w:color="000001"/>
              <w:bottom w:val="single" w:sz="2" w:space="0" w:color="000001"/>
            </w:tcBorders>
            <w:shd w:fill="auto" w:val="clear"/>
            <w:vAlign w:val="center"/>
          </w:tcPr>
          <w:p>
            <w:pPr>
              <w:pStyle w:val="Normal"/>
              <w:widowControl w:val="false"/>
              <w:snapToGrid w:val="false"/>
              <w:spacing w:before="0" w:after="0"/>
              <w:jc w:val="center"/>
              <w:rPr/>
            </w:pPr>
            <w:r>
              <w:rPr>
                <w:rFonts w:eastAsia="Calibri"/>
                <w:i w:val="false"/>
                <w:iCs w:val="false"/>
                <w:color w:val="000000"/>
                <w:sz w:val="16"/>
                <w:szCs w:val="16"/>
              </w:rPr>
              <w:t>44</w:t>
            </w:r>
            <w:r>
              <w:rPr>
                <w:rFonts w:eastAsia="Calibri"/>
                <w:i w:val="false"/>
                <w:iCs w:val="false"/>
                <w:color w:val="000000"/>
                <w:sz w:val="16"/>
                <w:szCs w:val="16"/>
              </w:rPr>
              <w:t>.90.52</w:t>
            </w:r>
          </w:p>
        </w:tc>
        <w:tc>
          <w:tcPr>
            <w:tcW w:w="1463"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jc w:val="center"/>
              <w:rPr>
                <w:rFonts w:cs="Arial"/>
                <w:color w:val="000000"/>
                <w:sz w:val="16"/>
                <w:szCs w:val="16"/>
                <w:lang w:eastAsia="pt-BR"/>
              </w:rPr>
            </w:pPr>
            <w:r>
              <w:rPr>
                <w:rFonts w:cs="Arial"/>
                <w:color w:val="000000"/>
                <w:sz w:val="16"/>
                <w:szCs w:val="16"/>
                <w:lang w:eastAsia="pt-BR"/>
              </w:rPr>
            </w:r>
          </w:p>
        </w:tc>
      </w:tr>
    </w:tbl>
    <w:p>
      <w:pPr>
        <w:pStyle w:val="Corpodotexto"/>
        <w:widowControl/>
        <w:tabs>
          <w:tab w:val="clear" w:pos="720"/>
          <w:tab w:val="left" w:pos="678" w:leader="none"/>
          <w:tab w:val="left" w:pos="679" w:leader="none"/>
        </w:tabs>
        <w:overflowPunct w:val="true"/>
        <w:bidi w:val="0"/>
        <w:spacing w:lineRule="auto" w:line="240" w:before="0" w:after="0"/>
        <w:ind w:left="0" w:right="0" w:hanging="0"/>
        <w:jc w:val="both"/>
        <w:rPr/>
      </w:pPr>
      <w:r>
        <w:rPr/>
      </w:r>
    </w:p>
    <w:p>
      <w:pPr>
        <w:pStyle w:val="Corpodotexto"/>
        <w:widowControl/>
        <w:numPr>
          <w:ilvl w:val="0"/>
          <w:numId w:val="1"/>
        </w:numPr>
        <w:tabs>
          <w:tab w:val="clear" w:pos="720"/>
          <w:tab w:val="left" w:pos="678" w:leader="none"/>
          <w:tab w:val="left" w:pos="679" w:leader="none"/>
        </w:tabs>
        <w:overflowPunct w:val="true"/>
        <w:bidi w:val="0"/>
        <w:spacing w:lineRule="auto" w:line="240" w:before="0" w:after="0"/>
        <w:ind w:left="0" w:right="0" w:hanging="0"/>
        <w:jc w:val="both"/>
        <w:rPr/>
      </w:pPr>
      <w:r>
        <w:rPr>
          <w:b/>
          <w:bCs/>
          <w:i w:val="false"/>
          <w:caps w:val="false"/>
          <w:smallCaps w:val="false"/>
          <w:sz w:val="24"/>
          <w:szCs w:val="24"/>
          <w:lang w:val="pt-PT"/>
        </w:rPr>
        <w:t>SANÇÕES MOTIVADAS PELA INEXECUÇÃO TOTAL OU PARCIAL DO AJUSTE</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A CONTRATADA estará sujeita a sanção administrativa todas as vezes que os materiais e/ou serviços prestados não cumprirem o prescrito na proposta comercial aceita pela Administração Pública.</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Pelo descumprimento parcial ou total dos compromissos assumidos, a Contratada estará sujeita à aplicação das seguintes sanções, após regular apuração, mediante processo administrativo, garantido o contraditório e ampla de defesa.</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Advertência por escrito, nos seguintes casos: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Em caso de ocorrências de não-conformidade dos materiais ou serviços requisitados.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Descumprimento de outras obrigações consideradas acessórias.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Multas: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Multa compensatória de 20% (vinte por cento) a ser calculada sobre o valor total da contratação, no caso de inadimplemento total por parte da Contratada, sem prejuízo das demais sanções administrativas e indenização suplementar por perdas e danos.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Pelo descumprimento das obrigações contratadas a Administração aplicará multas moratórias de 0,33% (trinta e três centésimos por cento) por dia/aula não ministrada ou que descumpra o previsto na proposta comercial.</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Suspensão temporária de participação em licitação e impedimento de contratar com a Administração, por prazo não superior a 2 (dois) anos.</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na letra anterior.</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 xml:space="preserve">As importâncias relativas a multas serão descontadas do pagamento porventura devido à Contratada, ou efetuada a sua cobrança na forma prevista em lei. </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O Órgão Contratante poderá, ainda, cancelar a Nota de Empenho decorrente da Cotação Eletrônica de Preços, sem prejuízo das penalidades previstas nos subitens anteriores e de outras previstas em lei.</w:t>
      </w:r>
    </w:p>
    <w:p>
      <w:pPr>
        <w:pStyle w:val="Corpodotexto"/>
        <w:widowControl/>
        <w:numPr>
          <w:ilvl w:val="1"/>
          <w:numId w:val="1"/>
        </w:numPr>
        <w:tabs>
          <w:tab w:val="clear" w:pos="720"/>
          <w:tab w:val="left" w:pos="678" w:leader="none"/>
          <w:tab w:val="left" w:pos="679" w:leader="none"/>
        </w:tabs>
        <w:overflowPunct w:val="true"/>
        <w:bidi w:val="0"/>
        <w:spacing w:lineRule="auto" w:line="360" w:before="0" w:after="0"/>
        <w:ind w:left="0" w:right="0" w:hanging="0"/>
        <w:jc w:val="both"/>
        <w:rPr/>
      </w:pPr>
      <w:r>
        <w:rPr>
          <w:b w:val="false"/>
          <w:bCs w:val="false"/>
          <w:i w:val="false"/>
          <w:caps w:val="false"/>
          <w:smallCaps w:val="false"/>
          <w:sz w:val="24"/>
          <w:szCs w:val="24"/>
          <w:lang w:val="pt-PT"/>
        </w:rPr>
        <w:t xml:space="preserve">Constituem motivos para a rescisão do contrato os casos previstos no </w:t>
      </w:r>
      <w:r>
        <w:rPr>
          <w:b w:val="false"/>
          <w:bCs w:val="false"/>
          <w:i w:val="false"/>
          <w:caps w:val="false"/>
          <w:smallCaps w:val="false"/>
          <w:color w:val="000000"/>
          <w:sz w:val="24"/>
          <w:szCs w:val="24"/>
          <w:lang w:val="pt-PT"/>
        </w:rPr>
        <w:t xml:space="preserve">Art. </w:t>
      </w:r>
      <w:r>
        <w:rPr>
          <w:rFonts w:eastAsia="Times New Roman" w:cs="Times New Roman"/>
          <w:b w:val="false"/>
          <w:bCs w:val="false"/>
          <w:i w:val="false"/>
          <w:iCs/>
          <w:caps w:val="false"/>
          <w:smallCaps w:val="false"/>
          <w:color w:val="000000"/>
          <w:sz w:val="24"/>
          <w:szCs w:val="24"/>
          <w:lang w:val="pt-PT" w:eastAsia="en-US" w:bidi="ar-SA"/>
        </w:rPr>
        <w:t>138</w:t>
      </w:r>
      <w:r>
        <w:rPr>
          <w:b w:val="false"/>
          <w:bCs w:val="false"/>
          <w:i w:val="false"/>
          <w:caps w:val="false"/>
          <w:smallCaps w:val="false"/>
          <w:color w:val="000000"/>
          <w:sz w:val="24"/>
          <w:szCs w:val="24"/>
          <w:lang w:val="pt-PT"/>
        </w:rPr>
        <w:t xml:space="preserve"> e Incisos da Lei N.º </w:t>
      </w:r>
      <w:r>
        <w:rPr>
          <w:rFonts w:eastAsia="Times New Roman" w:cs="Times New Roman"/>
          <w:b w:val="false"/>
          <w:bCs w:val="false"/>
          <w:i w:val="false"/>
          <w:iCs/>
          <w:caps w:val="false"/>
          <w:smallCaps w:val="false"/>
          <w:color w:val="000000"/>
          <w:sz w:val="24"/>
          <w:szCs w:val="24"/>
          <w:lang w:val="pt-PT" w:eastAsia="en-US" w:bidi="ar-SA"/>
        </w:rPr>
        <w:t>14.133</w:t>
      </w:r>
      <w:r>
        <w:rPr>
          <w:b w:val="false"/>
          <w:bCs w:val="false"/>
          <w:i w:val="false"/>
          <w:caps w:val="false"/>
          <w:smallCaps w:val="false"/>
          <w:color w:val="000000"/>
          <w:sz w:val="24"/>
          <w:szCs w:val="24"/>
          <w:lang w:val="pt-PT"/>
        </w:rPr>
        <w:t xml:space="preserve">/21 </w:t>
      </w:r>
      <w:r>
        <w:rPr>
          <w:b w:val="false"/>
          <w:bCs w:val="false"/>
          <w:i w:val="false"/>
          <w:caps w:val="false"/>
          <w:smallCaps w:val="false"/>
          <w:sz w:val="24"/>
          <w:szCs w:val="24"/>
          <w:lang w:val="pt-PT"/>
        </w:rPr>
        <w:t xml:space="preserve">e suas alterações, devendo haver o reconhecimento dos direitos da Administração, em caso de rescisão administrativa prevista no </w:t>
      </w:r>
      <w:r>
        <w:rPr>
          <w:b w:val="false"/>
          <w:bCs w:val="false"/>
          <w:i w:val="false"/>
          <w:caps w:val="false"/>
          <w:smallCaps w:val="false"/>
          <w:color w:val="000000"/>
          <w:sz w:val="24"/>
          <w:szCs w:val="24"/>
          <w:lang w:val="pt-PT"/>
        </w:rPr>
        <w:t xml:space="preserve">Art. </w:t>
      </w:r>
      <w:r>
        <w:rPr>
          <w:rFonts w:eastAsia="Times New Roman" w:cs="Times New Roman"/>
          <w:b w:val="false"/>
          <w:bCs w:val="false"/>
          <w:i w:val="false"/>
          <w:iCs/>
          <w:caps w:val="false"/>
          <w:smallCaps w:val="false"/>
          <w:color w:val="000000"/>
          <w:sz w:val="24"/>
          <w:szCs w:val="24"/>
          <w:lang w:val="pt-PT" w:eastAsia="en-US" w:bidi="ar-SA"/>
        </w:rPr>
        <w:t>139</w:t>
      </w:r>
      <w:r>
        <w:rPr>
          <w:b w:val="false"/>
          <w:bCs w:val="false"/>
          <w:i w:val="false"/>
          <w:caps w:val="false"/>
          <w:smallCaps w:val="false"/>
          <w:color w:val="000000"/>
          <w:sz w:val="24"/>
          <w:szCs w:val="24"/>
          <w:lang w:val="pt-PT"/>
        </w:rPr>
        <w:t xml:space="preserve"> de Lei nº </w:t>
      </w:r>
      <w:r>
        <w:rPr>
          <w:rFonts w:eastAsia="Times New Roman" w:cs="Times New Roman"/>
          <w:b w:val="false"/>
          <w:bCs w:val="false"/>
          <w:i w:val="false"/>
          <w:iCs/>
          <w:caps w:val="false"/>
          <w:smallCaps w:val="false"/>
          <w:color w:val="000000"/>
          <w:sz w:val="24"/>
          <w:szCs w:val="24"/>
          <w:lang w:val="pt-PT" w:eastAsia="en-US" w:bidi="ar-SA"/>
        </w:rPr>
        <w:t>14.133</w:t>
      </w:r>
      <w:r>
        <w:rPr>
          <w:b w:val="false"/>
          <w:bCs w:val="false"/>
          <w:i w:val="false"/>
          <w:caps w:val="false"/>
          <w:smallCaps w:val="false"/>
          <w:color w:val="000000"/>
          <w:sz w:val="24"/>
          <w:szCs w:val="24"/>
          <w:lang w:val="pt-PT"/>
        </w:rPr>
        <w:t>/21.</w:t>
      </w:r>
    </w:p>
    <w:p>
      <w:pPr>
        <w:pStyle w:val="Corpodotexto"/>
        <w:widowControl/>
        <w:numPr>
          <w:ilvl w:val="0"/>
          <w:numId w:val="0"/>
        </w:numPr>
        <w:tabs>
          <w:tab w:val="clear" w:pos="720"/>
          <w:tab w:val="left" w:pos="678" w:leader="none"/>
          <w:tab w:val="left" w:pos="679" w:leader="none"/>
        </w:tabs>
        <w:overflowPunct w:val="true"/>
        <w:bidi w:val="0"/>
        <w:spacing w:lineRule="auto" w:line="240" w:before="0" w:after="0"/>
        <w:ind w:left="0" w:right="0" w:hanging="0"/>
        <w:jc w:val="both"/>
        <w:rPr>
          <w:b w:val="false"/>
          <w:b w:val="false"/>
          <w:bCs w:val="false"/>
          <w:i w:val="false"/>
          <w:i w:val="false"/>
          <w:caps w:val="false"/>
          <w:smallCaps w:val="false"/>
          <w:sz w:val="24"/>
          <w:szCs w:val="24"/>
          <w:lang w:val="pt-PT"/>
        </w:rPr>
      </w:pPr>
      <w:r>
        <w:rPr>
          <w:b w:val="false"/>
          <w:bCs w:val="false"/>
          <w:i w:val="false"/>
          <w:caps w:val="false"/>
          <w:smallCaps w:val="false"/>
          <w:sz w:val="24"/>
          <w:szCs w:val="24"/>
          <w:lang w:val="pt-PT"/>
        </w:rPr>
      </w:r>
    </w:p>
    <w:p>
      <w:pPr>
        <w:pStyle w:val="Normal"/>
        <w:tabs>
          <w:tab w:val="clear" w:pos="720"/>
          <w:tab w:val="left" w:pos="1893" w:leader="none"/>
          <w:tab w:val="left" w:pos="4041" w:leader="none"/>
          <w:tab w:val="left" w:pos="5586" w:leader="none"/>
        </w:tabs>
        <w:spacing w:lineRule="auto" w:line="240" w:before="0" w:after="0"/>
        <w:ind w:left="0" w:right="17" w:hanging="0"/>
        <w:jc w:val="center"/>
        <w:rPr/>
      </w:pPr>
      <w:r>
        <w:rPr>
          <w:color w:val="000009"/>
          <w:sz w:val="24"/>
        </w:rPr>
        <w:t>Marabá-PA,</w:t>
      </w:r>
      <w:r>
        <w:rPr>
          <w:color w:val="000009"/>
          <w:sz w:val="24"/>
          <w:u w:val="none"/>
        </w:rPr>
        <w:t xml:space="preserve"> </w:t>
      </w:r>
      <w:r>
        <w:rPr>
          <w:color w:val="000009"/>
          <w:sz w:val="24"/>
          <w:u w:val="none"/>
        </w:rPr>
        <w:t>1</w:t>
      </w:r>
      <w:r>
        <w:rPr>
          <w:rFonts w:eastAsia="Times New Roman" w:cs="Times New Roman"/>
          <w:color w:val="000000"/>
          <w:sz w:val="24"/>
          <w:szCs w:val="22"/>
          <w:u w:val="none"/>
          <w:lang w:val="pt-PT" w:eastAsia="en-US" w:bidi="ar-SA"/>
        </w:rPr>
        <w:t>6</w:t>
      </w:r>
      <w:r>
        <w:rPr>
          <w:color w:val="000000"/>
          <w:sz w:val="24"/>
          <w:u w:val="none"/>
        </w:rPr>
        <w:t xml:space="preserve"> de setembro</w:t>
      </w:r>
      <w:r>
        <w:rPr>
          <w:color w:val="000009"/>
          <w:sz w:val="24"/>
          <w:u w:val="none"/>
        </w:rPr>
        <w:t xml:space="preserve"> de 2023</w:t>
      </w:r>
      <w:r>
        <w:rPr>
          <w:color w:val="000009"/>
          <w:sz w:val="24"/>
        </w:rPr>
        <w:t>.</w:t>
      </w:r>
    </w:p>
    <w:p>
      <w:pPr>
        <w:pStyle w:val="Corpodotexto"/>
        <w:spacing w:lineRule="auto" w:line="240"/>
        <w:rPr>
          <w:i w:val="false"/>
          <w:i w:val="false"/>
          <w:sz w:val="20"/>
        </w:rPr>
      </w:pPr>
      <w:r>
        <w:rPr>
          <w:i w:val="false"/>
          <w:sz w:val="20"/>
        </w:rPr>
      </w:r>
    </w:p>
    <w:p>
      <w:pPr>
        <w:pStyle w:val="Normal"/>
        <w:spacing w:lineRule="auto" w:line="240"/>
        <w:jc w:val="center"/>
        <w:rPr/>
      </w:pPr>
      <w:r>
        <w:rPr/>
      </w:r>
    </w:p>
    <w:p>
      <w:pPr>
        <w:pStyle w:val="Normal"/>
        <w:spacing w:lineRule="auto" w:line="240"/>
        <w:jc w:val="center"/>
        <w:rPr/>
      </w:pPr>
      <w:r>
        <w:rPr/>
      </w:r>
    </w:p>
    <w:p>
      <w:pPr>
        <w:pStyle w:val="Corpodotexto"/>
        <w:widowControl/>
        <w:bidi w:val="0"/>
        <w:spacing w:lineRule="auto" w:line="240" w:before="0" w:after="0"/>
        <w:ind w:left="0" w:right="0" w:hanging="0"/>
        <w:jc w:val="center"/>
        <w:rPr>
          <w:b/>
          <w:b/>
          <w:bCs/>
          <w:color w:val="000000"/>
        </w:rPr>
      </w:pPr>
      <w:r>
        <w:rPr>
          <w:rFonts w:eastAsia="Calibri" w:cs="Times New Roman"/>
          <w:b/>
          <w:bCs/>
          <w:i w:val="false"/>
          <w:iCs w:val="false"/>
          <w:color w:val="auto"/>
          <w:spacing w:val="-1"/>
          <w:sz w:val="24"/>
          <w:szCs w:val="24"/>
          <w:lang w:val="pt-BR" w:eastAsia="zh-CN" w:bidi="ar-SA"/>
        </w:rPr>
        <w:t xml:space="preserve"> </w:t>
      </w:r>
      <w:r>
        <w:rPr>
          <w:rFonts w:eastAsia="Calibri" w:cs="Times New Roman"/>
          <w:b/>
          <w:bCs/>
          <w:i w:val="false"/>
          <w:iCs w:val="false"/>
          <w:color w:val="auto"/>
          <w:spacing w:val="-1"/>
          <w:sz w:val="24"/>
          <w:szCs w:val="24"/>
          <w:lang w:val="pt-BR" w:eastAsia="zh-CN" w:bidi="ar-SA"/>
        </w:rPr>
        <w:t>JUCENIL DE JESUS FAUSTINO</w:t>
      </w:r>
      <w:r>
        <w:rPr>
          <w:b/>
          <w:bCs/>
          <w:i w:val="false"/>
          <w:iCs w:val="false"/>
          <w:color w:val="000009"/>
          <w:spacing w:val="-1"/>
          <w:sz w:val="24"/>
          <w:szCs w:val="24"/>
        </w:rPr>
        <w:t xml:space="preserve">– </w:t>
      </w:r>
      <w:r>
        <w:rPr>
          <w:rFonts w:eastAsia="Times New Roman" w:cs="Times New Roman"/>
          <w:b/>
          <w:bCs/>
          <w:i w:val="false"/>
          <w:iCs w:val="false"/>
          <w:color w:val="000009"/>
          <w:spacing w:val="-1"/>
          <w:kern w:val="0"/>
          <w:sz w:val="24"/>
          <w:szCs w:val="24"/>
          <w:lang w:val="pt-PT" w:eastAsia="en-US" w:bidi="ar-SA"/>
        </w:rPr>
        <w:t>CEL</w:t>
      </w:r>
    </w:p>
    <w:p>
      <w:pPr>
        <w:pStyle w:val="Corpodotexto"/>
        <w:widowControl/>
        <w:bidi w:val="0"/>
        <w:spacing w:lineRule="auto" w:line="240" w:before="0" w:after="0"/>
        <w:ind w:left="0" w:right="0" w:hanging="0"/>
        <w:jc w:val="center"/>
        <w:rPr>
          <w:i w:val="false"/>
          <w:i w:val="false"/>
          <w:iCs w:val="false"/>
        </w:rPr>
      </w:pPr>
      <w:r>
        <w:rPr>
          <w:i w:val="false"/>
          <w:iCs w:val="false"/>
          <w:color w:val="000009"/>
          <w:spacing w:val="-2"/>
        </w:rPr>
        <w:t>Ordenador de</w:t>
      </w:r>
      <w:r>
        <w:rPr>
          <w:i w:val="false"/>
          <w:iCs w:val="false"/>
          <w:color w:val="000009"/>
          <w:spacing w:val="-3"/>
        </w:rPr>
        <w:t xml:space="preserve"> </w:t>
      </w:r>
      <w:r>
        <w:rPr>
          <w:i w:val="false"/>
          <w:iCs w:val="false"/>
          <w:color w:val="000009"/>
          <w:spacing w:val="-2"/>
        </w:rPr>
        <w:t>Despesas do 23º B Log Sl</w:t>
      </w:r>
    </w:p>
    <w:p>
      <w:pPr>
        <w:pStyle w:val="Normal"/>
        <w:widowControl/>
        <w:overflowPunct w:val="true"/>
        <w:bidi w:val="0"/>
        <w:spacing w:lineRule="auto" w:line="240" w:before="0" w:after="0"/>
        <w:ind w:left="0" w:right="0" w:hanging="0"/>
        <w:jc w:val="both"/>
        <w:rPr/>
      </w:pPr>
      <w:r>
        <w:rPr/>
      </w:r>
    </w:p>
    <w:sectPr>
      <w:footerReference w:type="default" r:id="rId6"/>
      <w:type w:val="nextPage"/>
      <w:pgSz w:w="11906" w:h="16838"/>
      <w:pgMar w:left="740" w:right="1000" w:header="0" w:top="1100" w:footer="585" w:bottom="1052"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Segoe UI">
    <w:charset w:val="01"/>
    <w:family w:val="roman"/>
    <w:pitch w:val="variable"/>
  </w:font>
  <w:font w:name="Cambri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Calibri">
    <w:altName w:val="serif"/>
    <w:charset w:val="01"/>
    <w:family w:val="roman"/>
    <w:pitch w:val="variable"/>
  </w:font>
  <w:font w:name="Times New Roman">
    <w:altName w:val="serif"/>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left"/>
      <w:rPr/>
    </w:pPr>
    <w:r>
      <w:rPr>
        <w:sz w:val="16"/>
        <w:szCs w:val="16"/>
      </w:rPr>
      <w:t xml:space="preserve">                                                                </w:t>
    </w:r>
    <w:r>
      <w:rPr>
        <w:sz w:val="16"/>
        <w:szCs w:val="16"/>
      </w:rPr>
      <w:t xml:space="preserve">Aviso de Dispensa Eletrônica </w:t>
    </w:r>
    <w:r>
      <w:rPr>
        <w:sz w:val="16"/>
        <w:szCs w:val="16"/>
      </w:rPr>
      <w:t>n°</w:t>
    </w:r>
    <w:r>
      <w:rPr>
        <w:sz w:val="16"/>
        <w:szCs w:val="16"/>
        <w:u w:val="single"/>
      </w:rPr>
      <w:t xml:space="preserve">         </w:t>
    </w:r>
    <w:r>
      <w:rPr>
        <w:sz w:val="16"/>
        <w:szCs w:val="16"/>
      </w:rPr>
      <w:t xml:space="preserve">   </w:t>
    </w:r>
    <w:bookmarkStart w:id="2" w:name="__DdeLink__316_1069815332"/>
    <w:r>
      <w:rPr>
        <w:sz w:val="16"/>
        <w:szCs w:val="16"/>
      </w:rPr>
      <w:t xml:space="preserve">– </w:t>
    </w:r>
    <w:bookmarkEnd w:id="2"/>
    <w:r>
      <w:rPr>
        <w:sz w:val="16"/>
        <w:szCs w:val="16"/>
      </w:rPr>
      <w:t xml:space="preserve">Seção </w:t>
    </w:r>
    <w:r>
      <w:rPr>
        <w:color w:val="000000"/>
        <w:sz w:val="16"/>
        <w:szCs w:val="16"/>
      </w:rPr>
      <w:t>Almoxarifado</w:t>
    </w:r>
    <w:r>
      <w:rPr>
        <w:color w:val="FF0000"/>
        <w:sz w:val="16"/>
        <w:szCs w:val="16"/>
      </w:rPr>
      <w:t xml:space="preserve"> </w:t>
    </w:r>
    <w:r>
      <w:rPr>
        <w:color w:val="00000A"/>
        <w:sz w:val="16"/>
        <w:szCs w:val="16"/>
      </w:rPr>
      <w:t xml:space="preserve">– 23º B Log Sl   </w:t>
    </w:r>
    <w:r>
      <w:rPr>
        <w:sz w:val="16"/>
        <w:szCs w:val="16"/>
      </w:rPr>
      <w:t xml:space="preserve">                                                                Pág </w:t>
    </w:r>
    <w:r>
      <w:rPr/>
      <w:fldChar w:fldCharType="begin"/>
    </w:r>
    <w:r>
      <w:rPr/>
      <w:instrText> PAGE </w:instrText>
    </w:r>
    <w:r>
      <w:rPr/>
      <w:fldChar w:fldCharType="separate"/>
    </w:r>
    <w:r>
      <w:rPr/>
      <w:t>6</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678" w:hanging="567"/>
      </w:pPr>
      <w:rPr>
        <w:sz w:val="24"/>
        <w:i w:val="false"/>
        <w:b/>
        <w:szCs w:val="24"/>
        <w:iCs w:val="false"/>
        <w:bCs/>
        <w:w w:val="100"/>
        <w:rFonts w:eastAsia="Times New Roman" w:cs="Times New Roman"/>
        <w:lang w:val="pt-PT" w:eastAsia="en-US" w:bidi="ar-SA"/>
      </w:rPr>
    </w:lvl>
    <w:lvl w:ilvl="1">
      <w:start w:val="1"/>
      <w:numFmt w:val="decimal"/>
      <w:lvlText w:val="%1.%2."/>
      <w:lvlJc w:val="left"/>
      <w:pPr>
        <w:tabs>
          <w:tab w:val="num" w:pos="0"/>
        </w:tabs>
        <w:ind w:left="112" w:hanging="567"/>
      </w:pPr>
      <w:rPr>
        <w:sz w:val="24"/>
        <w:i w:val="false"/>
        <w:b w:val="false"/>
        <w:szCs w:val="24"/>
        <w:iCs w:val="false"/>
        <w:bCs w:val="false"/>
        <w:w w:val="100"/>
        <w:rFonts w:eastAsia="Times New Roman" w:cs="Times New Roman"/>
        <w:color w:val="000009"/>
        <w:lang w:val="pt-PT" w:eastAsia="en-US" w:bidi="ar-SA"/>
      </w:rPr>
    </w:lvl>
    <w:lvl w:ilvl="2">
      <w:start w:val="1"/>
      <w:numFmt w:val="upperRoman"/>
      <w:lvlText w:val="%3"/>
      <w:lvlJc w:val="left"/>
      <w:pPr>
        <w:tabs>
          <w:tab w:val="num" w:pos="0"/>
        </w:tabs>
        <w:ind w:left="5215" w:hanging="156"/>
      </w:pPr>
      <w:rPr>
        <w:sz w:val="20"/>
        <w:i/>
        <w:szCs w:val="20"/>
        <w:iCs/>
        <w:w w:val="99"/>
        <w:rFonts w:eastAsia="Times New Roman" w:cs="Times New Roman"/>
        <w:lang w:val="pt-PT" w:eastAsia="en-US" w:bidi="ar-SA"/>
      </w:rPr>
    </w:lvl>
    <w:lvl w:ilvl="3">
      <w:start w:val="1"/>
      <w:numFmt w:val="bullet"/>
      <w:lvlText w:val=""/>
      <w:lvlJc w:val="left"/>
      <w:pPr>
        <w:tabs>
          <w:tab w:val="num" w:pos="0"/>
        </w:tabs>
        <w:ind w:left="6454" w:hanging="156"/>
      </w:pPr>
      <w:rPr>
        <w:rFonts w:ascii="Symbol" w:hAnsi="Symbol" w:cs="Symbol" w:hint="default"/>
      </w:rPr>
    </w:lvl>
    <w:lvl w:ilvl="4">
      <w:start w:val="1"/>
      <w:numFmt w:val="bullet"/>
      <w:lvlText w:val=""/>
      <w:lvlJc w:val="left"/>
      <w:pPr>
        <w:tabs>
          <w:tab w:val="num" w:pos="0"/>
        </w:tabs>
        <w:ind w:left="7689" w:hanging="156"/>
      </w:pPr>
      <w:rPr>
        <w:rFonts w:ascii="Symbol" w:hAnsi="Symbol" w:cs="Symbol" w:hint="default"/>
      </w:rPr>
    </w:lvl>
    <w:lvl w:ilvl="5">
      <w:start w:val="1"/>
      <w:numFmt w:val="bullet"/>
      <w:lvlText w:val=""/>
      <w:lvlJc w:val="left"/>
      <w:pPr>
        <w:tabs>
          <w:tab w:val="num" w:pos="0"/>
        </w:tabs>
        <w:ind w:left="8924" w:hanging="156"/>
      </w:pPr>
      <w:rPr>
        <w:rFonts w:ascii="Symbol" w:hAnsi="Symbol" w:cs="Symbol" w:hint="default"/>
      </w:rPr>
    </w:lvl>
    <w:lvl w:ilvl="6">
      <w:start w:val="1"/>
      <w:numFmt w:val="bullet"/>
      <w:lvlText w:val=""/>
      <w:lvlJc w:val="left"/>
      <w:pPr>
        <w:tabs>
          <w:tab w:val="num" w:pos="0"/>
        </w:tabs>
        <w:ind w:left="10159" w:hanging="156"/>
      </w:pPr>
      <w:rPr>
        <w:rFonts w:ascii="Symbol" w:hAnsi="Symbol" w:cs="Symbol" w:hint="default"/>
      </w:rPr>
    </w:lvl>
    <w:lvl w:ilvl="7">
      <w:start w:val="1"/>
      <w:numFmt w:val="bullet"/>
      <w:lvlText w:val=""/>
      <w:lvlJc w:val="left"/>
      <w:pPr>
        <w:tabs>
          <w:tab w:val="num" w:pos="0"/>
        </w:tabs>
        <w:ind w:left="11394" w:hanging="156"/>
      </w:pPr>
      <w:rPr>
        <w:rFonts w:ascii="Symbol" w:hAnsi="Symbol" w:cs="Symbol" w:hint="default"/>
      </w:rPr>
    </w:lvl>
    <w:lvl w:ilvl="8">
      <w:start w:val="1"/>
      <w:numFmt w:val="bullet"/>
      <w:lvlText w:val=""/>
      <w:lvlJc w:val="left"/>
      <w:pPr>
        <w:tabs>
          <w:tab w:val="num" w:pos="0"/>
        </w:tabs>
        <w:ind w:left="12628" w:hanging="156"/>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200"/>
  <w:defaultTabStop w:val="72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 w:val="20"/>
        <w:szCs w:val="22"/>
        <w:lang w:val="en-US" w:eastAsia="en-US"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40" w:before="0" w:after="0"/>
      <w:ind w:left="0" w:right="0" w:hanging="0"/>
      <w:jc w:val="left"/>
    </w:pPr>
    <w:rPr>
      <w:rFonts w:ascii="Times New Roman" w:hAnsi="Times New Roman" w:eastAsia="Times New Roman" w:cs="Times New Roman"/>
      <w:color w:val="00000A"/>
      <w:kern w:val="0"/>
      <w:sz w:val="22"/>
      <w:szCs w:val="22"/>
      <w:lang w:val="pt-PT" w:eastAsia="en-US" w:bidi="ar-SA"/>
    </w:rPr>
  </w:style>
  <w:style w:type="paragraph" w:styleId="Ttulo1">
    <w:name w:val="Heading 1"/>
    <w:basedOn w:val="Normal"/>
    <w:qFormat/>
    <w:pPr>
      <w:ind w:left="678" w:right="0" w:hanging="567"/>
      <w:outlineLvl w:val="1"/>
    </w:pPr>
    <w:rPr>
      <w:rFonts w:ascii="Times New Roman" w:hAnsi="Times New Roman" w:eastAsia="Times New Roman" w:cs="Times New Roman"/>
      <w:b/>
      <w:bCs/>
      <w:sz w:val="24"/>
      <w:szCs w:val="24"/>
      <w:lang w:val="pt-PT" w:eastAsia="en-US" w:bidi="ar-SA"/>
    </w:rPr>
  </w:style>
  <w:style w:type="paragraph" w:styleId="Ttulo2">
    <w:name w:val="Heading 2"/>
    <w:basedOn w:val="Normal"/>
    <w:qFormat/>
    <w:pPr>
      <w:ind w:left="112" w:right="0" w:hanging="0"/>
      <w:outlineLvl w:val="2"/>
    </w:pPr>
    <w:rPr>
      <w:rFonts w:ascii="Times New Roman" w:hAnsi="Times New Roman" w:eastAsia="Times New Roman" w:cs="Times New Roman"/>
      <w:sz w:val="24"/>
      <w:szCs w:val="24"/>
      <w:lang w:val="pt-PT" w:eastAsia="en-US" w:bidi="ar-SA"/>
    </w:rPr>
  </w:style>
  <w:style w:type="character" w:styleId="DefaultParagraphFont">
    <w:name w:val="Default Paragraph Font"/>
    <w:qFormat/>
    <w:rPr/>
  </w:style>
  <w:style w:type="character" w:styleId="Fontepargpadro">
    <w:name w:val="Fonte parág. padrão"/>
    <w:qFormat/>
    <w:rPr/>
  </w:style>
  <w:style w:type="character" w:styleId="LinkdaInternet">
    <w:name w:val="Link da Internet"/>
    <w:rPr>
      <w:color w:val="000080"/>
      <w:u w:val="single"/>
      <w:lang w:val="zxx" w:eastAsia="zxx" w:bidi="zxx"/>
    </w:rPr>
  </w:style>
  <w:style w:type="character" w:styleId="CorpodetextoChar">
    <w:name w:val="Corpo de texto Char"/>
    <w:qFormat/>
    <w:rPr>
      <w:rFonts w:ascii="Times New Roman" w:hAnsi="Times New Roman" w:eastAsia="Times New Roman"/>
      <w:sz w:val="24"/>
      <w:lang w:eastAsia="pt-BR"/>
    </w:rPr>
  </w:style>
  <w:style w:type="character" w:styleId="CharacterStyle1">
    <w:name w:val="Character Style 1"/>
    <w:qFormat/>
    <w:rPr>
      <w:sz w:val="20"/>
    </w:rPr>
  </w:style>
  <w:style w:type="character" w:styleId="RodapChar">
    <w:name w:val="Rodapé Char"/>
    <w:qFormat/>
    <w:rPr/>
  </w:style>
  <w:style w:type="character" w:styleId="Recuodecorpodetexto2Char">
    <w:name w:val="Recuo de corpo de texto 2 Char"/>
    <w:qFormat/>
    <w:rPr>
      <w:rFonts w:ascii="Arial" w:hAnsi="Arial" w:eastAsia="Tahoma"/>
      <w:sz w:val="20"/>
      <w:lang w:eastAsia="pt-BR"/>
    </w:rPr>
  </w:style>
  <w:style w:type="character" w:styleId="Tiporegular2">
    <w:name w:val="tipo_regular2"/>
    <w:qFormat/>
    <w:rPr/>
  </w:style>
  <w:style w:type="character" w:styleId="TextodebaloChar">
    <w:name w:val="Texto de balão Char"/>
    <w:qFormat/>
    <w:rPr>
      <w:rFonts w:ascii="Segoe UI" w:hAnsi="Segoe UI" w:eastAsia="Segoe UI"/>
      <w:sz w:val="18"/>
    </w:rPr>
  </w:style>
  <w:style w:type="character" w:styleId="Ttulo1Char">
    <w:name w:val="Título 1 Char"/>
    <w:qFormat/>
    <w:rPr>
      <w:rFonts w:ascii="Cambria" w:hAnsi="Cambria" w:eastAsia="DejaVu Sans"/>
      <w:color w:val="365F91"/>
      <w:sz w:val="32"/>
    </w:rPr>
  </w:style>
  <w:style w:type="character" w:styleId="Nivel1Char">
    <w:name w:val="Nivel1 Char"/>
    <w:qFormat/>
    <w:rPr>
      <w:rFonts w:ascii="Arial" w:hAnsi="Arial" w:eastAsia="Times New Roman"/>
      <w:b/>
      <w:color w:val="000000"/>
      <w:sz w:val="20"/>
      <w:lang w:eastAsia="pt-BR"/>
    </w:rPr>
  </w:style>
  <w:style w:type="character" w:styleId="Ttulo5Char">
    <w:name w:val="Título 5 Char"/>
    <w:qFormat/>
    <w:rPr>
      <w:rFonts w:ascii="Calibri" w:hAnsi="Calibri" w:eastAsia="Times New Roman"/>
      <w:b/>
      <w:i/>
      <w:sz w:val="26"/>
      <w:lang w:eastAsia="pt-BR"/>
    </w:rPr>
  </w:style>
  <w:style w:type="character" w:styleId="CabealhoChar">
    <w:name w:val="Cabeçalho Char"/>
    <w:qFormat/>
    <w:rPr>
      <w:rFonts w:ascii="Times New Roman" w:hAnsi="Times New Roman" w:eastAsia="Times New Roman"/>
      <w:sz w:val="24"/>
      <w:lang w:eastAsia="pt-BR"/>
    </w:rPr>
  </w:style>
  <w:style w:type="character" w:styleId="Ttulo2Char">
    <w:name w:val="Título 2 Char"/>
    <w:qFormat/>
    <w:rPr>
      <w:rFonts w:ascii="Arial" w:hAnsi="Arial" w:eastAsia="Arial"/>
      <w:b/>
      <w:i/>
      <w:sz w:val="28"/>
      <w:lang w:eastAsia="pt-BR"/>
    </w:rPr>
  </w:style>
  <w:style w:type="character" w:styleId="Marcas">
    <w:name w:val="Marcas"/>
    <w:qFormat/>
    <w:rPr>
      <w:rFonts w:ascii="OpenSymbol" w:hAnsi="OpenSymbol" w:eastAsia="OpenSymbol" w:cs="OpenSymbol"/>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rPr>
      <w:rFonts w:ascii="Times New Roman" w:hAnsi="Times New Roman" w:eastAsia="Times New Roman" w:cs="Times New Roman"/>
      <w:i/>
      <w:iCs/>
      <w:sz w:val="24"/>
      <w:szCs w:val="24"/>
      <w:lang w:val="pt-PT" w:eastAsia="en-US" w:bidi="ar-SA"/>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qFormat/>
    <w:pPr>
      <w:ind w:left="112" w:right="0" w:hanging="0"/>
    </w:pPr>
    <w:rPr>
      <w:rFonts w:ascii="Times New Roman" w:hAnsi="Times New Roman" w:eastAsia="Times New Roman" w:cs="Times New Roman"/>
      <w:lang w:val="pt-PT" w:eastAsia="en-US" w:bidi="ar-SA"/>
    </w:rPr>
  </w:style>
  <w:style w:type="paragraph" w:styleId="TableParagraph">
    <w:name w:val="Table Paragraph"/>
    <w:basedOn w:val="Normal"/>
    <w:qFormat/>
    <w:pPr/>
    <w:rPr>
      <w:rFonts w:ascii="Times New Roman" w:hAnsi="Times New Roman" w:eastAsia="Times New Roman" w:cs="Times New Roman"/>
      <w:lang w:val="pt-PT" w:eastAsia="en-US" w:bidi="ar-SA"/>
    </w:rPr>
  </w:style>
  <w:style w:type="paragraph" w:styleId="CabealhoeRodap">
    <w:name w:val="Cabeçalho e Rodapé"/>
    <w:basedOn w:val="Normal"/>
    <w:qFormat/>
    <w:pPr>
      <w:widowControl/>
      <w:suppressAutoHyphens w:val="true"/>
      <w:bidi w:val="0"/>
      <w:spacing w:lineRule="auto" w:line="276" w:before="0" w:after="200"/>
      <w:jc w:val="left"/>
    </w:pPr>
    <w:rPr>
      <w:rFonts w:ascii="Calibri" w:hAnsi="Calibri" w:eastAsia="DejaVu Sans"/>
      <w:color w:val="00000A"/>
      <w:sz w:val="22"/>
      <w:lang w:val="pt-BR" w:eastAsia="ar-SA"/>
    </w:rPr>
  </w:style>
  <w:style w:type="paragraph" w:styleId="Rodap">
    <w:name w:val="Footer"/>
    <w:basedOn w:val="Normal"/>
    <w:pPr/>
    <w:rPr/>
  </w:style>
  <w:style w:type="paragraph" w:styleId="Contedodoquadro">
    <w:name w:val="Conteúdo do quadro"/>
    <w:basedOn w:val="Normal"/>
    <w:qFormat/>
    <w:pPr/>
    <w:rPr/>
  </w:style>
  <w:style w:type="paragraph" w:styleId="Standard">
    <w:name w:val="Standard"/>
    <w:qFormat/>
    <w:pPr>
      <w:widowControl/>
      <w:suppressAutoHyphens w:val="true"/>
      <w:overflowPunct w:val="true"/>
      <w:bidi w:val="0"/>
      <w:spacing w:before="0" w:after="0"/>
      <w:jc w:val="left"/>
      <w:textAlignment w:val="baseline"/>
    </w:pPr>
    <w:rPr>
      <w:rFonts w:ascii="Liberation Serif" w:hAnsi="Liberation Serif" w:eastAsia="FreeSans" w:cs="Liberation Serif"/>
      <w:color w:val="00000A"/>
      <w:kern w:val="0"/>
      <w:sz w:val="24"/>
      <w:szCs w:val="24"/>
      <w:lang w:val="pt-BR" w:eastAsia="hi-IN" w:bidi="ar-SA"/>
    </w:rPr>
  </w:style>
  <w:style w:type="paragraph" w:styleId="Contedodatabela">
    <w:name w:val="Conteúdo da tabela"/>
    <w:basedOn w:val="Normal"/>
    <w:qFormat/>
    <w:pPr/>
    <w:rPr/>
  </w:style>
  <w:style w:type="paragraph" w:styleId="Default">
    <w:name w:val="Default"/>
    <w:qFormat/>
    <w:pPr>
      <w:widowControl/>
      <w:suppressAutoHyphens w:val="true"/>
      <w:bidi w:val="0"/>
      <w:spacing w:lineRule="auto" w:line="240" w:before="0" w:after="0"/>
      <w:jc w:val="left"/>
    </w:pPr>
    <w:rPr>
      <w:rFonts w:ascii="Times New Roman" w:hAnsi="Times New Roman" w:eastAsia="Calibri" w:cs="Times New Roman"/>
      <w:color w:val="000000"/>
      <w:kern w:val="0"/>
      <w:sz w:val="24"/>
      <w:szCs w:val="24"/>
      <w:lang w:val="pt-BR" w:eastAsia="en-US" w:bidi="ar-SA"/>
    </w:rPr>
  </w:style>
  <w:style w:type="paragraph" w:styleId="Style12">
    <w:name w:val="Style 1"/>
    <w:basedOn w:val="Normal"/>
    <w:qFormat/>
    <w:pPr>
      <w:widowControl w:val="false"/>
      <w:suppressAutoHyphens w:val="true"/>
      <w:bidi w:val="0"/>
      <w:spacing w:lineRule="auto" w:line="240" w:before="0" w:after="0"/>
      <w:jc w:val="left"/>
    </w:pPr>
    <w:rPr>
      <w:rFonts w:ascii="Times New Roman" w:hAnsi="Times New Roman" w:eastAsia="Times New Roman"/>
      <w:color w:val="00000A"/>
      <w:sz w:val="20"/>
      <w:lang w:val="pt-BR" w:eastAsia="ar-SA"/>
    </w:rPr>
  </w:style>
  <w:style w:type="paragraph" w:styleId="Style21">
    <w:name w:val="Style 2"/>
    <w:basedOn w:val="Normal"/>
    <w:qFormat/>
    <w:pPr>
      <w:widowControl w:val="false"/>
      <w:suppressAutoHyphens w:val="true"/>
      <w:bidi w:val="0"/>
      <w:spacing w:lineRule="auto" w:line="240" w:before="0" w:after="0"/>
      <w:ind w:left="2232" w:right="0" w:hanging="0"/>
      <w:jc w:val="left"/>
    </w:pPr>
    <w:rPr>
      <w:rFonts w:ascii="Times New Roman" w:hAnsi="Times New Roman" w:eastAsia="Times New Roman"/>
      <w:color w:val="00000A"/>
      <w:sz w:val="23"/>
      <w:lang w:val="pt-BR" w:eastAsia="ar-SA"/>
    </w:rPr>
  </w:style>
  <w:style w:type="paragraph" w:styleId="PargrafodaLista1">
    <w:name w:val="Parágrafo da Lista1"/>
    <w:basedOn w:val="Normal"/>
    <w:qFormat/>
    <w:pPr>
      <w:widowControl/>
      <w:suppressAutoHyphens w:val="true"/>
      <w:bidi w:val="0"/>
      <w:spacing w:lineRule="auto" w:line="240" w:before="0" w:after="0"/>
      <w:ind w:left="720" w:right="0" w:firstLine="851"/>
      <w:jc w:val="both"/>
    </w:pPr>
    <w:rPr>
      <w:rFonts w:ascii="Arial" w:hAnsi="Arial" w:eastAsia="Tahoma"/>
      <w:color w:val="00000A"/>
      <w:sz w:val="20"/>
      <w:lang w:val="pt-BR" w:eastAsia="ar-SA"/>
    </w:rPr>
  </w:style>
  <w:style w:type="paragraph" w:styleId="Western">
    <w:name w:val="western"/>
    <w:basedOn w:val="Normal"/>
    <w:qFormat/>
    <w:pPr>
      <w:widowControl/>
      <w:suppressAutoHyphens w:val="true"/>
      <w:bidi w:val="0"/>
      <w:spacing w:lineRule="auto" w:line="240" w:before="280" w:after="0"/>
      <w:jc w:val="both"/>
    </w:pPr>
    <w:rPr>
      <w:rFonts w:ascii="Arial" w:hAnsi="Arial" w:eastAsia="Arial"/>
      <w:color w:val="000000"/>
      <w:sz w:val="24"/>
      <w:lang w:val="pt-BR" w:eastAsia="ar-SA"/>
    </w:rPr>
  </w:style>
  <w:style w:type="paragraph" w:styleId="BodyTextIndent2">
    <w:name w:val="Body Text Indent 2"/>
    <w:basedOn w:val="Normal"/>
    <w:qFormat/>
    <w:pPr>
      <w:widowControl/>
      <w:suppressAutoHyphens w:val="true"/>
      <w:bidi w:val="0"/>
      <w:spacing w:lineRule="auto" w:line="480" w:before="0" w:after="120"/>
      <w:ind w:left="283" w:right="0" w:hanging="0"/>
      <w:jc w:val="left"/>
    </w:pPr>
    <w:rPr>
      <w:rFonts w:ascii="Arial" w:hAnsi="Arial" w:eastAsia="Tahoma"/>
      <w:color w:val="00000A"/>
      <w:sz w:val="20"/>
      <w:lang w:val="pt-BR" w:eastAsia="ar-SA"/>
    </w:rPr>
  </w:style>
  <w:style w:type="paragraph" w:styleId="BalloonText">
    <w:name w:val="Balloon Text"/>
    <w:basedOn w:val="Normal"/>
    <w:qFormat/>
    <w:pPr>
      <w:widowControl/>
      <w:suppressAutoHyphens w:val="true"/>
      <w:bidi w:val="0"/>
      <w:spacing w:lineRule="auto" w:line="240" w:before="0" w:after="0"/>
      <w:jc w:val="left"/>
    </w:pPr>
    <w:rPr>
      <w:rFonts w:ascii="Segoe UI" w:hAnsi="Segoe UI" w:eastAsia="Segoe UI"/>
      <w:color w:val="00000A"/>
      <w:sz w:val="18"/>
      <w:lang w:val="pt-BR" w:eastAsia="ar-SA"/>
    </w:rPr>
  </w:style>
  <w:style w:type="paragraph" w:styleId="Nivel1">
    <w:name w:val="Nivel1"/>
    <w:basedOn w:val="Ttulo1"/>
    <w:qFormat/>
    <w:pPr>
      <w:keepNext w:val="true"/>
      <w:keepLines/>
      <w:widowControl/>
      <w:suppressAutoHyphens w:val="true"/>
      <w:bidi w:val="0"/>
      <w:spacing w:lineRule="auto" w:line="276" w:before="480" w:after="120"/>
      <w:jc w:val="both"/>
    </w:pPr>
    <w:rPr>
      <w:rFonts w:ascii="Arial" w:hAnsi="Arial" w:eastAsia="Times New Roman"/>
      <w:b/>
      <w:color w:val="000000"/>
      <w:sz w:val="20"/>
      <w:lang w:val="pt-BR" w:eastAsia="ar-SA"/>
    </w:rPr>
  </w:style>
  <w:style w:type="paragraph" w:styleId="Ttulodetabela">
    <w:name w:val="Título de tabela"/>
    <w:basedOn w:val="Contedodatabela"/>
    <w:qFormat/>
    <w:pPr>
      <w:suppressLineNumbers/>
      <w:jc w:val="center"/>
    </w:pPr>
    <w:rPr>
      <w:b/>
      <w:bCs/>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comprasgovernamentais.gov.br/" TargetMode="External"/><Relationship Id="rId4" Type="http://schemas.openxmlformats.org/officeDocument/2006/relationships/image" Target="media/image2.jpeg"/><Relationship Id="rId5" Type="http://schemas.openxmlformats.org/officeDocument/2006/relationships/hyperlink" Target="mailto:almoxarifado23blog@gmail.com"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2136</TotalTime>
  <Application>LibreOffice/6.4.7.2$Linux_X86_64 LibreOffice_project/40$Build-2</Application>
  <Pages>6</Pages>
  <Words>1993</Words>
  <Characters>11453</Characters>
  <CharactersWithSpaces>13425</CharactersWithSpaces>
  <Paragraphs>114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2021-04-13T16:40:40Z</dcterms:created>
  <dc:creator>28º B Log Mec</dc:creator>
  <dc:description/>
  <dc:language>pt-BR</dc:language>
  <cp:lastModifiedBy/>
  <cp:lastPrinted>2023-09-26T13:17:33Z</cp:lastPrinted>
  <dcterms:modified xsi:type="dcterms:W3CDTF">2023-11-15T19:45:59Z</dcterms:modified>
  <cp:revision>280</cp:revision>
  <dc:subject/>
  <dc:title>MINISTÉRIO DO EXÉRCITO                               Dourados-M</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2021-04-08T00:00:00Z</vt:filetime>
  </property>
  <property fmtid="{D5CDD505-2E9C-101B-9397-08002B2CF9AE}" pid="4" name="Creator">
    <vt:lpwstr>Microsoft® Word para Microsoft 365</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2021-04-13T00:00:00Z</vt:filetime>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